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AE" w:rsidRDefault="00D50CAE" w:rsidP="00D50CAE">
      <w:pPr>
        <w:spacing w:line="560" w:lineRule="exact"/>
        <w:ind w:firstLine="0"/>
      </w:pPr>
      <w:r w:rsidRPr="002F5916">
        <w:rPr>
          <w:rFonts w:eastAsia="黑体" w:hAnsi="黑体"/>
        </w:rPr>
        <w:t>表格</w:t>
      </w:r>
      <w:r>
        <w:rPr>
          <w:rFonts w:hint="eastAsia"/>
        </w:rPr>
        <w:t>4</w:t>
      </w:r>
    </w:p>
    <w:p w:rsidR="00D50CAE" w:rsidRPr="00453048" w:rsidRDefault="00790D99" w:rsidP="00D50CAE">
      <w:pPr>
        <w:pStyle w:val="3"/>
      </w:pPr>
      <w:r>
        <w:rPr>
          <w:rFonts w:hint="eastAsia"/>
        </w:rPr>
        <w:t>武进博物馆</w:t>
      </w:r>
      <w:r w:rsidR="00D50CAE" w:rsidRPr="00453048">
        <w:rPr>
          <w:rFonts w:hint="eastAsia"/>
        </w:rPr>
        <w:t>公共服务事项清单</w:t>
      </w:r>
    </w:p>
    <w:p w:rsidR="00D50CAE" w:rsidRPr="002F5916" w:rsidRDefault="00D50CAE" w:rsidP="00D50CAE">
      <w:pPr>
        <w:spacing w:line="36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59"/>
        <w:gridCol w:w="1759"/>
        <w:gridCol w:w="5264"/>
        <w:gridCol w:w="1427"/>
        <w:gridCol w:w="1399"/>
        <w:gridCol w:w="2378"/>
      </w:tblGrid>
      <w:tr w:rsidR="00D50CAE" w:rsidRPr="002F5916" w:rsidTr="00B010E2">
        <w:trPr>
          <w:trHeight w:val="623"/>
          <w:jc w:val="center"/>
        </w:trPr>
        <w:tc>
          <w:tcPr>
            <w:tcW w:w="629" w:type="pct"/>
            <w:vAlign w:val="center"/>
          </w:tcPr>
          <w:p w:rsidR="00D50CAE" w:rsidRPr="002F5916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服务名称</w:t>
            </w:r>
          </w:p>
        </w:tc>
        <w:tc>
          <w:tcPr>
            <w:tcW w:w="629" w:type="pct"/>
            <w:vAlign w:val="center"/>
          </w:tcPr>
          <w:p w:rsidR="00D50CAE" w:rsidRPr="002F5916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服务内容</w:t>
            </w:r>
          </w:p>
        </w:tc>
        <w:tc>
          <w:tcPr>
            <w:tcW w:w="1882" w:type="pct"/>
            <w:vAlign w:val="center"/>
          </w:tcPr>
          <w:p w:rsidR="00D50CAE" w:rsidRPr="002F5916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服务依据</w:t>
            </w:r>
          </w:p>
        </w:tc>
        <w:tc>
          <w:tcPr>
            <w:tcW w:w="510" w:type="pct"/>
            <w:vAlign w:val="center"/>
          </w:tcPr>
          <w:p w:rsidR="00D50CAE" w:rsidRPr="002F5916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服务方式</w:t>
            </w:r>
          </w:p>
        </w:tc>
        <w:tc>
          <w:tcPr>
            <w:tcW w:w="500" w:type="pct"/>
            <w:vAlign w:val="center"/>
          </w:tcPr>
          <w:p w:rsidR="00D50CAE" w:rsidRPr="002F5916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服务类别</w:t>
            </w:r>
          </w:p>
        </w:tc>
        <w:tc>
          <w:tcPr>
            <w:tcW w:w="850" w:type="pct"/>
            <w:vAlign w:val="center"/>
          </w:tcPr>
          <w:p w:rsidR="00D50CAE" w:rsidRPr="002F5916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承办机构</w:t>
            </w:r>
          </w:p>
        </w:tc>
      </w:tr>
      <w:tr w:rsidR="00D50CAE" w:rsidRPr="002F5916" w:rsidTr="00B010E2">
        <w:trPr>
          <w:trHeight w:val="1280"/>
          <w:jc w:val="center"/>
        </w:trPr>
        <w:tc>
          <w:tcPr>
            <w:tcW w:w="629" w:type="pct"/>
            <w:vAlign w:val="center"/>
          </w:tcPr>
          <w:p w:rsidR="00D50CAE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D50CAE" w:rsidRPr="00E3660E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免费开放</w:t>
            </w:r>
          </w:p>
        </w:tc>
        <w:tc>
          <w:tcPr>
            <w:tcW w:w="629" w:type="pct"/>
            <w:vAlign w:val="center"/>
          </w:tcPr>
          <w:p w:rsidR="00D50CAE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D50CAE" w:rsidRPr="00E3660E" w:rsidRDefault="00D50CAE" w:rsidP="007D6618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免费开放</w:t>
            </w:r>
          </w:p>
        </w:tc>
        <w:tc>
          <w:tcPr>
            <w:tcW w:w="1882" w:type="pct"/>
            <w:vAlign w:val="center"/>
          </w:tcPr>
          <w:p w:rsidR="00D50CAE" w:rsidRPr="00E3660E" w:rsidRDefault="00D50CAE" w:rsidP="007D6618">
            <w:pPr>
              <w:widowControl/>
              <w:spacing w:line="320" w:lineRule="exact"/>
              <w:ind w:firstLine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《博物馆条例》第三十三条　【文件】《省政府办公厅关于印发江苏省“十三五”时期基本公共服务清单的通知》（苏政办发〔2017〕65号）【文件】《省委办公厅　省政府办公厅印发〈关于推进现代公共文化服务体系建设的实施意见》的通知〉（苏办发〔2015〕49号）</w:t>
            </w:r>
          </w:p>
        </w:tc>
        <w:tc>
          <w:tcPr>
            <w:tcW w:w="510" w:type="pct"/>
            <w:vAlign w:val="center"/>
          </w:tcPr>
          <w:p w:rsidR="00D50CAE" w:rsidRPr="00E3660E" w:rsidRDefault="00D50CAE" w:rsidP="007D6618">
            <w:pPr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主动服务</w:t>
            </w:r>
          </w:p>
        </w:tc>
        <w:tc>
          <w:tcPr>
            <w:tcW w:w="500" w:type="pct"/>
            <w:vAlign w:val="center"/>
          </w:tcPr>
          <w:p w:rsidR="00D50CAE" w:rsidRPr="00E3660E" w:rsidRDefault="00D50CAE" w:rsidP="007D6618">
            <w:pPr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展览展示</w:t>
            </w:r>
          </w:p>
        </w:tc>
        <w:tc>
          <w:tcPr>
            <w:tcW w:w="850" w:type="pct"/>
            <w:vAlign w:val="center"/>
          </w:tcPr>
          <w:p w:rsidR="00D50CAE" w:rsidRPr="00E3660E" w:rsidRDefault="00D50CAE" w:rsidP="00B010E2">
            <w:pPr>
              <w:spacing w:line="28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常州市武进区博物馆</w:t>
            </w:r>
          </w:p>
        </w:tc>
      </w:tr>
      <w:tr w:rsidR="00B010E2" w:rsidRPr="002F5916" w:rsidTr="00B010E2">
        <w:trPr>
          <w:trHeight w:val="1280"/>
          <w:jc w:val="center"/>
        </w:trPr>
        <w:tc>
          <w:tcPr>
            <w:tcW w:w="629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0259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EE0259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0259">
              <w:rPr>
                <w:rFonts w:ascii="仿宋" w:eastAsia="仿宋" w:hAnsi="仿宋" w:hint="eastAsia"/>
                <w:sz w:val="24"/>
                <w:szCs w:val="24"/>
              </w:rPr>
              <w:t>对未成年人的讲解和服务</w:t>
            </w:r>
          </w:p>
        </w:tc>
        <w:tc>
          <w:tcPr>
            <w:tcW w:w="629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0259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EE0259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0259">
              <w:rPr>
                <w:rFonts w:ascii="仿宋" w:eastAsia="仿宋" w:hAnsi="仿宋" w:hint="eastAsia"/>
                <w:sz w:val="24"/>
                <w:szCs w:val="24"/>
              </w:rPr>
              <w:t>对未成年人的讲解和服务</w:t>
            </w:r>
          </w:p>
        </w:tc>
        <w:tc>
          <w:tcPr>
            <w:tcW w:w="1882" w:type="pct"/>
            <w:vAlign w:val="center"/>
          </w:tcPr>
          <w:p w:rsidR="00B010E2" w:rsidRPr="00EE0259" w:rsidRDefault="00B010E2" w:rsidP="00B010E2">
            <w:pPr>
              <w:widowControl/>
              <w:spacing w:line="32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E0259">
              <w:rPr>
                <w:rFonts w:ascii="仿宋" w:eastAsia="仿宋" w:hAnsi="仿宋" w:hint="eastAsia"/>
                <w:sz w:val="24"/>
                <w:szCs w:val="24"/>
              </w:rPr>
              <w:t>《博物馆条例》第三十二条</w:t>
            </w:r>
          </w:p>
        </w:tc>
        <w:tc>
          <w:tcPr>
            <w:tcW w:w="510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主动服务</w:t>
            </w:r>
          </w:p>
        </w:tc>
        <w:tc>
          <w:tcPr>
            <w:tcW w:w="500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科学普及</w:t>
            </w:r>
          </w:p>
        </w:tc>
        <w:tc>
          <w:tcPr>
            <w:tcW w:w="850" w:type="pct"/>
            <w:vAlign w:val="center"/>
          </w:tcPr>
          <w:p w:rsidR="00B010E2" w:rsidRPr="00E3660E" w:rsidRDefault="00B010E2" w:rsidP="00B010E2">
            <w:pPr>
              <w:spacing w:line="28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常州市武进区博物馆</w:t>
            </w:r>
          </w:p>
        </w:tc>
      </w:tr>
      <w:tr w:rsidR="00B010E2" w:rsidRPr="002F5916" w:rsidTr="00B010E2">
        <w:trPr>
          <w:trHeight w:val="1280"/>
          <w:jc w:val="center"/>
        </w:trPr>
        <w:tc>
          <w:tcPr>
            <w:tcW w:w="629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06537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206537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06537">
              <w:rPr>
                <w:rFonts w:ascii="仿宋" w:eastAsia="仿宋" w:hAnsi="仿宋" w:hint="eastAsia"/>
                <w:sz w:val="24"/>
                <w:szCs w:val="24"/>
              </w:rPr>
              <w:t>科研服务</w:t>
            </w:r>
          </w:p>
        </w:tc>
        <w:tc>
          <w:tcPr>
            <w:tcW w:w="629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06537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206537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06537">
              <w:rPr>
                <w:rFonts w:ascii="仿宋" w:eastAsia="仿宋" w:hAnsi="仿宋" w:hint="eastAsia"/>
                <w:sz w:val="24"/>
                <w:szCs w:val="24"/>
              </w:rPr>
              <w:t>科研服务</w:t>
            </w:r>
          </w:p>
        </w:tc>
        <w:tc>
          <w:tcPr>
            <w:tcW w:w="1882" w:type="pct"/>
            <w:vAlign w:val="center"/>
          </w:tcPr>
          <w:p w:rsidR="00B010E2" w:rsidRPr="00206537" w:rsidRDefault="00B010E2" w:rsidP="00B010E2">
            <w:pPr>
              <w:widowControl/>
              <w:spacing w:line="32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206537">
              <w:rPr>
                <w:rFonts w:ascii="仿宋" w:eastAsia="仿宋" w:hAnsi="仿宋" w:hint="eastAsia"/>
                <w:sz w:val="24"/>
                <w:szCs w:val="24"/>
              </w:rPr>
              <w:t xml:space="preserve">《博物馆条例》第三十六条第二款 </w:t>
            </w:r>
          </w:p>
        </w:tc>
        <w:tc>
          <w:tcPr>
            <w:tcW w:w="510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主动服务</w:t>
            </w:r>
          </w:p>
        </w:tc>
        <w:tc>
          <w:tcPr>
            <w:tcW w:w="500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科学普及</w:t>
            </w:r>
          </w:p>
        </w:tc>
        <w:tc>
          <w:tcPr>
            <w:tcW w:w="850" w:type="pct"/>
            <w:vAlign w:val="center"/>
          </w:tcPr>
          <w:p w:rsidR="00B010E2" w:rsidRPr="00E3660E" w:rsidRDefault="00B010E2" w:rsidP="00B010E2">
            <w:pPr>
              <w:spacing w:line="28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常州市武进区博物馆</w:t>
            </w:r>
          </w:p>
        </w:tc>
      </w:tr>
      <w:tr w:rsidR="00B010E2" w:rsidRPr="002F5916" w:rsidTr="00B010E2">
        <w:trPr>
          <w:trHeight w:val="1280"/>
          <w:jc w:val="center"/>
        </w:trPr>
        <w:tc>
          <w:tcPr>
            <w:tcW w:w="629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53C5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A053C5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53C5">
              <w:rPr>
                <w:rFonts w:ascii="仿宋" w:eastAsia="仿宋" w:hAnsi="仿宋" w:hint="eastAsia"/>
                <w:sz w:val="24"/>
                <w:szCs w:val="24"/>
              </w:rPr>
              <w:t>社区服务</w:t>
            </w:r>
          </w:p>
        </w:tc>
        <w:tc>
          <w:tcPr>
            <w:tcW w:w="629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53C5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A053C5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53C5">
              <w:rPr>
                <w:rFonts w:ascii="仿宋" w:eastAsia="仿宋" w:hAnsi="仿宋" w:hint="eastAsia"/>
                <w:sz w:val="24"/>
                <w:szCs w:val="24"/>
              </w:rPr>
              <w:t>社区服务</w:t>
            </w:r>
          </w:p>
        </w:tc>
        <w:tc>
          <w:tcPr>
            <w:tcW w:w="1882" w:type="pct"/>
            <w:vAlign w:val="center"/>
          </w:tcPr>
          <w:p w:rsidR="00B010E2" w:rsidRPr="00A053C5" w:rsidRDefault="00B010E2" w:rsidP="00B010E2">
            <w:pPr>
              <w:widowControl/>
              <w:spacing w:line="32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A053C5">
              <w:rPr>
                <w:rFonts w:ascii="仿宋" w:eastAsia="仿宋" w:hAnsi="仿宋" w:hint="eastAsia"/>
                <w:sz w:val="24"/>
                <w:szCs w:val="24"/>
              </w:rPr>
              <w:t xml:space="preserve">《博物馆条例》第三十四条 </w:t>
            </w:r>
          </w:p>
        </w:tc>
        <w:tc>
          <w:tcPr>
            <w:tcW w:w="510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主动服务</w:t>
            </w:r>
          </w:p>
        </w:tc>
        <w:tc>
          <w:tcPr>
            <w:tcW w:w="500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科学普及</w:t>
            </w:r>
          </w:p>
        </w:tc>
        <w:tc>
          <w:tcPr>
            <w:tcW w:w="850" w:type="pct"/>
            <w:vAlign w:val="center"/>
          </w:tcPr>
          <w:p w:rsidR="00B010E2" w:rsidRPr="00E3660E" w:rsidRDefault="00B010E2" w:rsidP="00B010E2">
            <w:pPr>
              <w:spacing w:line="28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常州市武进区博物馆</w:t>
            </w:r>
          </w:p>
        </w:tc>
      </w:tr>
    </w:tbl>
    <w:p w:rsidR="00D50CAE" w:rsidRPr="002F5916" w:rsidRDefault="00D50CAE" w:rsidP="00D50CAE">
      <w:pPr>
        <w:spacing w:line="36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D50CAE" w:rsidRDefault="00D50CAE" w:rsidP="00D50CAE">
      <w:pPr>
        <w:spacing w:line="36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B010E2" w:rsidRDefault="00B010E2" w:rsidP="00B010E2">
      <w:pPr>
        <w:spacing w:line="560" w:lineRule="exact"/>
        <w:ind w:firstLine="0"/>
      </w:pPr>
      <w:r w:rsidRPr="002F5916">
        <w:rPr>
          <w:rFonts w:eastAsia="黑体" w:hAnsi="黑体"/>
        </w:rPr>
        <w:lastRenderedPageBreak/>
        <w:t>表格</w:t>
      </w:r>
      <w:r>
        <w:rPr>
          <w:rFonts w:hint="eastAsia"/>
        </w:rPr>
        <w:t>4</w:t>
      </w:r>
    </w:p>
    <w:p w:rsidR="00B010E2" w:rsidRPr="00453048" w:rsidRDefault="00790D99" w:rsidP="00B010E2">
      <w:pPr>
        <w:pStyle w:val="3"/>
      </w:pPr>
      <w:r>
        <w:rPr>
          <w:rFonts w:hint="eastAsia"/>
        </w:rPr>
        <w:t>武进博物馆</w:t>
      </w:r>
      <w:bookmarkStart w:id="0" w:name="_GoBack"/>
      <w:bookmarkEnd w:id="0"/>
      <w:r w:rsidR="00B010E2" w:rsidRPr="00453048">
        <w:rPr>
          <w:rFonts w:hint="eastAsia"/>
        </w:rPr>
        <w:t>公共服务事项清单</w:t>
      </w:r>
    </w:p>
    <w:p w:rsidR="00B010E2" w:rsidRPr="00B010E2" w:rsidRDefault="00B010E2" w:rsidP="00D50CAE">
      <w:pPr>
        <w:spacing w:line="36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73"/>
        <w:gridCol w:w="1773"/>
        <w:gridCol w:w="5203"/>
        <w:gridCol w:w="1407"/>
        <w:gridCol w:w="1438"/>
        <w:gridCol w:w="2392"/>
      </w:tblGrid>
      <w:tr w:rsidR="00B010E2" w:rsidRPr="002F5916" w:rsidTr="00B010E2">
        <w:trPr>
          <w:trHeight w:val="687"/>
          <w:jc w:val="center"/>
        </w:trPr>
        <w:tc>
          <w:tcPr>
            <w:tcW w:w="634" w:type="pct"/>
            <w:vAlign w:val="center"/>
          </w:tcPr>
          <w:p w:rsidR="00B010E2" w:rsidRPr="002F5916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服务名称</w:t>
            </w:r>
          </w:p>
        </w:tc>
        <w:tc>
          <w:tcPr>
            <w:tcW w:w="634" w:type="pct"/>
            <w:vAlign w:val="center"/>
          </w:tcPr>
          <w:p w:rsidR="00B010E2" w:rsidRPr="002F5916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服务内容</w:t>
            </w:r>
          </w:p>
        </w:tc>
        <w:tc>
          <w:tcPr>
            <w:tcW w:w="1860" w:type="pct"/>
            <w:vAlign w:val="center"/>
          </w:tcPr>
          <w:p w:rsidR="00B010E2" w:rsidRPr="002F5916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服务依据</w:t>
            </w:r>
          </w:p>
        </w:tc>
        <w:tc>
          <w:tcPr>
            <w:tcW w:w="503" w:type="pct"/>
            <w:vAlign w:val="center"/>
          </w:tcPr>
          <w:p w:rsidR="00B010E2" w:rsidRPr="002F5916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服务方式</w:t>
            </w:r>
          </w:p>
        </w:tc>
        <w:tc>
          <w:tcPr>
            <w:tcW w:w="514" w:type="pct"/>
            <w:vAlign w:val="center"/>
          </w:tcPr>
          <w:p w:rsidR="00B010E2" w:rsidRPr="002F5916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服务类别</w:t>
            </w:r>
          </w:p>
        </w:tc>
        <w:tc>
          <w:tcPr>
            <w:tcW w:w="855" w:type="pct"/>
            <w:vAlign w:val="center"/>
          </w:tcPr>
          <w:p w:rsidR="00B010E2" w:rsidRPr="002F5916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2F5916">
              <w:rPr>
                <w:rFonts w:ascii="黑体" w:eastAsia="黑体" w:hAnsi="黑体" w:hint="eastAsia"/>
                <w:sz w:val="28"/>
                <w:szCs w:val="32"/>
              </w:rPr>
              <w:t>承办机构</w:t>
            </w:r>
          </w:p>
        </w:tc>
      </w:tr>
      <w:tr w:rsidR="00B010E2" w:rsidRPr="002F5916" w:rsidTr="00B010E2">
        <w:trPr>
          <w:trHeight w:val="1280"/>
          <w:jc w:val="center"/>
        </w:trPr>
        <w:tc>
          <w:tcPr>
            <w:tcW w:w="634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C4932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4C493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C4932">
              <w:rPr>
                <w:rFonts w:ascii="仿宋" w:eastAsia="仿宋" w:hAnsi="仿宋" w:hint="eastAsia"/>
                <w:sz w:val="24"/>
                <w:szCs w:val="24"/>
              </w:rPr>
              <w:t>展览</w:t>
            </w:r>
          </w:p>
        </w:tc>
        <w:tc>
          <w:tcPr>
            <w:tcW w:w="634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C4932">
              <w:rPr>
                <w:rFonts w:ascii="仿宋" w:eastAsia="仿宋" w:hAnsi="仿宋" w:hint="eastAsia"/>
                <w:sz w:val="24"/>
                <w:szCs w:val="24"/>
              </w:rPr>
              <w:t>公共博物馆</w:t>
            </w:r>
          </w:p>
          <w:p w:rsidR="00B010E2" w:rsidRPr="004C493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C4932">
              <w:rPr>
                <w:rFonts w:ascii="仿宋" w:eastAsia="仿宋" w:hAnsi="仿宋" w:hint="eastAsia"/>
                <w:sz w:val="24"/>
                <w:szCs w:val="24"/>
              </w:rPr>
              <w:t>展览</w:t>
            </w:r>
          </w:p>
        </w:tc>
        <w:tc>
          <w:tcPr>
            <w:tcW w:w="1860" w:type="pct"/>
            <w:vAlign w:val="center"/>
          </w:tcPr>
          <w:p w:rsidR="00B010E2" w:rsidRPr="004C493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C4932">
              <w:rPr>
                <w:rFonts w:ascii="仿宋" w:eastAsia="仿宋" w:hAnsi="仿宋" w:hint="eastAsia"/>
                <w:sz w:val="24"/>
                <w:szCs w:val="24"/>
              </w:rPr>
              <w:t>《博物馆条例》第三十条</w:t>
            </w:r>
          </w:p>
        </w:tc>
        <w:tc>
          <w:tcPr>
            <w:tcW w:w="503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主动服务</w:t>
            </w:r>
          </w:p>
        </w:tc>
        <w:tc>
          <w:tcPr>
            <w:tcW w:w="514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展览展示</w:t>
            </w:r>
          </w:p>
        </w:tc>
        <w:tc>
          <w:tcPr>
            <w:tcW w:w="855" w:type="pct"/>
            <w:vAlign w:val="center"/>
          </w:tcPr>
          <w:p w:rsidR="00B010E2" w:rsidRPr="00E3660E" w:rsidRDefault="00B010E2" w:rsidP="00B010E2">
            <w:pPr>
              <w:spacing w:line="28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常州市武进区博物馆</w:t>
            </w:r>
          </w:p>
        </w:tc>
      </w:tr>
      <w:tr w:rsidR="00B010E2" w:rsidRPr="002F5916" w:rsidTr="00B010E2">
        <w:trPr>
          <w:trHeight w:val="1280"/>
          <w:jc w:val="center"/>
        </w:trPr>
        <w:tc>
          <w:tcPr>
            <w:tcW w:w="634" w:type="pct"/>
            <w:vAlign w:val="center"/>
          </w:tcPr>
          <w:p w:rsidR="00B010E2" w:rsidRPr="00A92E0F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2E0F">
              <w:rPr>
                <w:rFonts w:ascii="仿宋" w:eastAsia="仿宋" w:hAnsi="仿宋" w:hint="eastAsia"/>
                <w:sz w:val="24"/>
                <w:szCs w:val="24"/>
              </w:rPr>
              <w:t>公共博物馆利用博物馆资源开展教育活动</w:t>
            </w:r>
          </w:p>
        </w:tc>
        <w:tc>
          <w:tcPr>
            <w:tcW w:w="634" w:type="pct"/>
            <w:vAlign w:val="center"/>
          </w:tcPr>
          <w:p w:rsidR="00B010E2" w:rsidRPr="00A92E0F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2E0F">
              <w:rPr>
                <w:rFonts w:ascii="仿宋" w:eastAsia="仿宋" w:hAnsi="仿宋" w:hint="eastAsia"/>
                <w:sz w:val="24"/>
                <w:szCs w:val="24"/>
              </w:rPr>
              <w:t>公共博物馆利用博物馆资源开展教育活动</w:t>
            </w:r>
          </w:p>
        </w:tc>
        <w:tc>
          <w:tcPr>
            <w:tcW w:w="1860" w:type="pct"/>
            <w:vAlign w:val="center"/>
          </w:tcPr>
          <w:p w:rsidR="00B010E2" w:rsidRPr="00A92E0F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2E0F">
              <w:rPr>
                <w:rFonts w:ascii="仿宋" w:eastAsia="仿宋" w:hAnsi="仿宋" w:hint="eastAsia"/>
                <w:sz w:val="24"/>
                <w:szCs w:val="24"/>
              </w:rPr>
              <w:t>《博物馆条例》第三十五条</w:t>
            </w:r>
          </w:p>
        </w:tc>
        <w:tc>
          <w:tcPr>
            <w:tcW w:w="503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主动服务</w:t>
            </w:r>
          </w:p>
        </w:tc>
        <w:tc>
          <w:tcPr>
            <w:tcW w:w="514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科学普及</w:t>
            </w:r>
          </w:p>
        </w:tc>
        <w:tc>
          <w:tcPr>
            <w:tcW w:w="855" w:type="pct"/>
            <w:vAlign w:val="center"/>
          </w:tcPr>
          <w:p w:rsidR="00B010E2" w:rsidRPr="00E3660E" w:rsidRDefault="00B010E2" w:rsidP="00B010E2">
            <w:pPr>
              <w:spacing w:line="28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常州市武进区博物馆</w:t>
            </w:r>
          </w:p>
        </w:tc>
      </w:tr>
      <w:tr w:rsidR="00B010E2" w:rsidRPr="002F5916" w:rsidTr="00B010E2">
        <w:trPr>
          <w:trHeight w:val="1280"/>
          <w:jc w:val="center"/>
        </w:trPr>
        <w:tc>
          <w:tcPr>
            <w:tcW w:w="634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1B68">
              <w:rPr>
                <w:rFonts w:ascii="仿宋" w:eastAsia="仿宋" w:hAnsi="仿宋" w:hint="eastAsia"/>
                <w:sz w:val="24"/>
                <w:szCs w:val="24"/>
              </w:rPr>
              <w:t>文物展览</w:t>
            </w:r>
          </w:p>
          <w:p w:rsidR="00B010E2" w:rsidRPr="00C31B68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1B68">
              <w:rPr>
                <w:rFonts w:ascii="仿宋" w:eastAsia="仿宋" w:hAnsi="仿宋" w:hint="eastAsia"/>
                <w:sz w:val="24"/>
                <w:szCs w:val="24"/>
              </w:rPr>
              <w:t>与展示</w:t>
            </w:r>
          </w:p>
        </w:tc>
        <w:tc>
          <w:tcPr>
            <w:tcW w:w="634" w:type="pct"/>
            <w:vAlign w:val="center"/>
          </w:tcPr>
          <w:p w:rsidR="00B010E2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1B68">
              <w:rPr>
                <w:rFonts w:ascii="仿宋" w:eastAsia="仿宋" w:hAnsi="仿宋" w:hint="eastAsia"/>
                <w:sz w:val="24"/>
                <w:szCs w:val="24"/>
              </w:rPr>
              <w:t>文物展览</w:t>
            </w:r>
          </w:p>
          <w:p w:rsidR="00B010E2" w:rsidRPr="00C31B68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1B68">
              <w:rPr>
                <w:rFonts w:ascii="仿宋" w:eastAsia="仿宋" w:hAnsi="仿宋" w:hint="eastAsia"/>
                <w:sz w:val="24"/>
                <w:szCs w:val="24"/>
              </w:rPr>
              <w:t>与展示</w:t>
            </w:r>
          </w:p>
        </w:tc>
        <w:tc>
          <w:tcPr>
            <w:tcW w:w="1860" w:type="pct"/>
            <w:vAlign w:val="center"/>
          </w:tcPr>
          <w:p w:rsidR="00B010E2" w:rsidRPr="00C31B68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31B68">
              <w:rPr>
                <w:rFonts w:ascii="仿宋" w:eastAsia="仿宋" w:hAnsi="仿宋" w:hint="eastAsia"/>
                <w:sz w:val="24"/>
                <w:szCs w:val="24"/>
              </w:rPr>
              <w:t>《博物馆条例》第三十一条</w:t>
            </w:r>
          </w:p>
        </w:tc>
        <w:tc>
          <w:tcPr>
            <w:tcW w:w="503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主动服务</w:t>
            </w:r>
          </w:p>
        </w:tc>
        <w:tc>
          <w:tcPr>
            <w:tcW w:w="514" w:type="pct"/>
            <w:vAlign w:val="center"/>
          </w:tcPr>
          <w:p w:rsidR="00B010E2" w:rsidRPr="0051521E" w:rsidRDefault="00B010E2" w:rsidP="00B010E2">
            <w:pPr>
              <w:widowControl/>
              <w:spacing w:line="320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展览展示</w:t>
            </w:r>
          </w:p>
        </w:tc>
        <w:tc>
          <w:tcPr>
            <w:tcW w:w="855" w:type="pct"/>
            <w:vAlign w:val="center"/>
          </w:tcPr>
          <w:p w:rsidR="00B010E2" w:rsidRPr="00E3660E" w:rsidRDefault="00B010E2" w:rsidP="00B010E2">
            <w:pPr>
              <w:spacing w:line="280" w:lineRule="exact"/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E3660E">
              <w:rPr>
                <w:rFonts w:ascii="仿宋" w:eastAsia="仿宋" w:hAnsi="仿宋" w:hint="eastAsia"/>
                <w:sz w:val="24"/>
                <w:szCs w:val="24"/>
              </w:rPr>
              <w:t>常州市武进区博物馆</w:t>
            </w:r>
          </w:p>
        </w:tc>
      </w:tr>
    </w:tbl>
    <w:p w:rsidR="00D50CAE" w:rsidRPr="002F5916" w:rsidRDefault="00D50CAE" w:rsidP="00D50CAE">
      <w:pPr>
        <w:spacing w:line="36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976ED2" w:rsidRDefault="00976ED2" w:rsidP="00B010E2">
      <w:pPr>
        <w:spacing w:line="560" w:lineRule="exact"/>
        <w:ind w:firstLine="0"/>
        <w:rPr>
          <w:sz w:val="10"/>
          <w:szCs w:val="10"/>
        </w:rPr>
      </w:pPr>
    </w:p>
    <w:sectPr w:rsidR="00976ED2" w:rsidSect="0051647B">
      <w:footerReference w:type="even" r:id="rId6"/>
      <w:footerReference w:type="default" r:id="rId7"/>
      <w:pgSz w:w="16838" w:h="11906" w:orient="landscape" w:code="9"/>
      <w:pgMar w:top="1531" w:right="1418" w:bottom="1134" w:left="1418" w:header="567" w:footer="907" w:gutter="0"/>
      <w:cols w:space="720"/>
      <w:docGrid w:linePitch="590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308" w:rsidRDefault="00700308" w:rsidP="00FA3551">
      <w:pPr>
        <w:spacing w:line="240" w:lineRule="auto"/>
      </w:pPr>
      <w:r>
        <w:separator/>
      </w:r>
    </w:p>
  </w:endnote>
  <w:endnote w:type="continuationSeparator" w:id="0">
    <w:p w:rsidR="00700308" w:rsidRDefault="00700308" w:rsidP="00FA35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小标宋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440" w:rsidRDefault="0055600A" w:rsidP="004015E3">
    <w:pPr>
      <w:pStyle w:val="a5"/>
      <w:ind w:leftChars="100" w:left="320" w:rightChars="100" w:right="32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 w:rsidR="002F40FF">
      <w:fldChar w:fldCharType="begin"/>
    </w:r>
    <w:r>
      <w:instrText xml:space="preserve"> PAGE </w:instrText>
    </w:r>
    <w:r w:rsidR="002F40FF">
      <w:fldChar w:fldCharType="separate"/>
    </w:r>
    <w:r>
      <w:rPr>
        <w:noProof/>
      </w:rPr>
      <w:t>30</w:t>
    </w:r>
    <w:r w:rsidR="002F40FF"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5254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51647B" w:rsidRPr="0051647B" w:rsidRDefault="00573D01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hint="eastAsia"/>
          </w:rPr>
          <w:t>—</w:t>
        </w:r>
        <w:r w:rsidR="002F40FF" w:rsidRPr="0051647B">
          <w:rPr>
            <w:rFonts w:asciiTheme="minorEastAsia" w:hAnsiTheme="minorEastAsia"/>
            <w:sz w:val="28"/>
            <w:szCs w:val="28"/>
          </w:rPr>
          <w:fldChar w:fldCharType="begin"/>
        </w:r>
        <w:r w:rsidR="0051647B" w:rsidRPr="0051647B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="002F40FF" w:rsidRPr="0051647B">
          <w:rPr>
            <w:rFonts w:asciiTheme="minorEastAsia" w:hAnsiTheme="minorEastAsia"/>
            <w:sz w:val="28"/>
            <w:szCs w:val="28"/>
          </w:rPr>
          <w:fldChar w:fldCharType="separate"/>
        </w:r>
        <w:r w:rsidR="00790D99" w:rsidRPr="00790D99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="002F40FF" w:rsidRPr="0051647B"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 w:rsidR="0051647B" w:rsidRDefault="005164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308" w:rsidRDefault="00700308" w:rsidP="00FA3551">
      <w:pPr>
        <w:spacing w:line="240" w:lineRule="auto"/>
      </w:pPr>
      <w:r>
        <w:separator/>
      </w:r>
    </w:p>
  </w:footnote>
  <w:footnote w:type="continuationSeparator" w:id="0">
    <w:p w:rsidR="00700308" w:rsidRDefault="00700308" w:rsidP="00FA355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HorizontalSpacing w:val="315"/>
  <w:drawingGridVerticalSpacing w:val="29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51"/>
    <w:rsid w:val="00040772"/>
    <w:rsid w:val="0004565C"/>
    <w:rsid w:val="000F3D01"/>
    <w:rsid w:val="00174F2E"/>
    <w:rsid w:val="00202E29"/>
    <w:rsid w:val="00206537"/>
    <w:rsid w:val="0020677D"/>
    <w:rsid w:val="00295432"/>
    <w:rsid w:val="002C58C6"/>
    <w:rsid w:val="002F40FF"/>
    <w:rsid w:val="003040D4"/>
    <w:rsid w:val="00326192"/>
    <w:rsid w:val="00453048"/>
    <w:rsid w:val="00457261"/>
    <w:rsid w:val="004B38C2"/>
    <w:rsid w:val="004C4932"/>
    <w:rsid w:val="0051521E"/>
    <w:rsid w:val="0051647B"/>
    <w:rsid w:val="005411CB"/>
    <w:rsid w:val="0055600A"/>
    <w:rsid w:val="00573D01"/>
    <w:rsid w:val="005A3E36"/>
    <w:rsid w:val="005D56E7"/>
    <w:rsid w:val="006976CA"/>
    <w:rsid w:val="00700308"/>
    <w:rsid w:val="00703818"/>
    <w:rsid w:val="007229AE"/>
    <w:rsid w:val="007468C0"/>
    <w:rsid w:val="0077334D"/>
    <w:rsid w:val="00790D99"/>
    <w:rsid w:val="00813828"/>
    <w:rsid w:val="008441C5"/>
    <w:rsid w:val="00884AF8"/>
    <w:rsid w:val="008930E0"/>
    <w:rsid w:val="009129BB"/>
    <w:rsid w:val="00922CBD"/>
    <w:rsid w:val="009233F6"/>
    <w:rsid w:val="00943960"/>
    <w:rsid w:val="00967F90"/>
    <w:rsid w:val="00976ED2"/>
    <w:rsid w:val="009A718F"/>
    <w:rsid w:val="00A053C5"/>
    <w:rsid w:val="00A361B2"/>
    <w:rsid w:val="00A37B9E"/>
    <w:rsid w:val="00A742FC"/>
    <w:rsid w:val="00A92E0F"/>
    <w:rsid w:val="00AD4CEC"/>
    <w:rsid w:val="00B010E2"/>
    <w:rsid w:val="00B233CC"/>
    <w:rsid w:val="00B40A53"/>
    <w:rsid w:val="00B54E05"/>
    <w:rsid w:val="00C2707A"/>
    <w:rsid w:val="00C31B68"/>
    <w:rsid w:val="00C63F73"/>
    <w:rsid w:val="00C86944"/>
    <w:rsid w:val="00CC0F90"/>
    <w:rsid w:val="00CE257A"/>
    <w:rsid w:val="00D229C8"/>
    <w:rsid w:val="00D50CAE"/>
    <w:rsid w:val="00D81685"/>
    <w:rsid w:val="00E3660E"/>
    <w:rsid w:val="00E36F9E"/>
    <w:rsid w:val="00E67A65"/>
    <w:rsid w:val="00EB3C69"/>
    <w:rsid w:val="00EB6851"/>
    <w:rsid w:val="00EE0259"/>
    <w:rsid w:val="00FA3551"/>
    <w:rsid w:val="00FD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1C1678-FED9-4A24-8587-57526A30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551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55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35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3551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3551"/>
    <w:rPr>
      <w:sz w:val="18"/>
      <w:szCs w:val="18"/>
    </w:rPr>
  </w:style>
  <w:style w:type="paragraph" w:customStyle="1" w:styleId="1">
    <w:name w:val="标题1"/>
    <w:basedOn w:val="a"/>
    <w:next w:val="a"/>
    <w:rsid w:val="00FA3551"/>
    <w:pPr>
      <w:tabs>
        <w:tab w:val="left" w:pos="9193"/>
        <w:tab w:val="left" w:pos="9827"/>
      </w:tabs>
      <w:spacing w:beforeLines="50" w:afterLines="50" w:line="640" w:lineRule="exact"/>
      <w:ind w:firstLine="0"/>
      <w:jc w:val="center"/>
    </w:pPr>
    <w:rPr>
      <w:rFonts w:eastAsia="方正小标宋_GBK"/>
      <w:sz w:val="44"/>
    </w:rPr>
  </w:style>
  <w:style w:type="paragraph" w:customStyle="1" w:styleId="2">
    <w:name w:val="标题2"/>
    <w:basedOn w:val="a"/>
    <w:next w:val="a"/>
    <w:autoRedefine/>
    <w:rsid w:val="00976ED2"/>
    <w:pPr>
      <w:spacing w:before="120" w:after="120" w:line="400" w:lineRule="exact"/>
      <w:ind w:firstLine="0"/>
      <w:jc w:val="center"/>
    </w:pPr>
    <w:rPr>
      <w:rFonts w:ascii="楷体_GB2312" w:eastAsia="楷体_GB2312"/>
      <w:sz w:val="28"/>
      <w:szCs w:val="28"/>
    </w:rPr>
  </w:style>
  <w:style w:type="paragraph" w:customStyle="1" w:styleId="3">
    <w:name w:val="标题3"/>
    <w:basedOn w:val="a"/>
    <w:next w:val="a"/>
    <w:autoRedefine/>
    <w:rsid w:val="00453048"/>
    <w:pPr>
      <w:adjustRightInd w:val="0"/>
      <w:spacing w:line="560" w:lineRule="exact"/>
      <w:ind w:firstLine="0"/>
      <w:jc w:val="center"/>
    </w:pPr>
    <w:rPr>
      <w:rFonts w:ascii="小标宋" w:eastAsia="小标宋"/>
      <w:sz w:val="44"/>
      <w:szCs w:val="44"/>
    </w:rPr>
  </w:style>
  <w:style w:type="paragraph" w:styleId="a7">
    <w:name w:val="Normal (Web)"/>
    <w:basedOn w:val="a"/>
    <w:uiPriority w:val="99"/>
    <w:unhideWhenUsed/>
    <w:rsid w:val="00FA3551"/>
    <w:pPr>
      <w:widowControl/>
      <w:autoSpaceDE/>
      <w:autoSpaceDN/>
      <w:snapToGrid/>
      <w:spacing w:before="100" w:beforeAutospacing="1" w:after="100" w:afterAutospacing="1" w:line="240" w:lineRule="auto"/>
      <w:ind w:firstLine="0"/>
      <w:jc w:val="left"/>
    </w:pPr>
    <w:rPr>
      <w:rFonts w:ascii="宋体" w:eastAsia="宋体" w:hAnsi="宋体" w:cs="宋体"/>
      <w:snapToGrid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A35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autoSpaceDE/>
      <w:autoSpaceDN/>
      <w:snapToGrid/>
      <w:spacing w:after="120" w:line="375" w:lineRule="atLeast"/>
      <w:ind w:firstLine="0"/>
      <w:jc w:val="left"/>
    </w:pPr>
    <w:rPr>
      <w:rFonts w:ascii="微软雅黑" w:eastAsia="微软雅黑" w:hAnsi="微软雅黑" w:cs="Consolas"/>
      <w:snapToGrid/>
      <w:color w:val="333333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A3551"/>
    <w:rPr>
      <w:rFonts w:ascii="微软雅黑" w:eastAsia="微软雅黑" w:hAnsi="微软雅黑" w:cs="Consolas"/>
      <w:color w:val="333333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90D99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90D99"/>
    <w:rPr>
      <w:rFonts w:ascii="Times New Roman" w:eastAsia="方正仿宋_GBK" w:hAnsi="Times New Roman" w:cs="Times New Roman"/>
      <w:snapToGrid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张志毅</dc:creator>
  <cp:keywords/>
  <dc:description/>
  <cp:lastModifiedBy>jin</cp:lastModifiedBy>
  <cp:revision>6</cp:revision>
  <cp:lastPrinted>2021-01-07T06:51:00Z</cp:lastPrinted>
  <dcterms:created xsi:type="dcterms:W3CDTF">2021-01-07T03:26:00Z</dcterms:created>
  <dcterms:modified xsi:type="dcterms:W3CDTF">2021-01-07T06:51:00Z</dcterms:modified>
</cp:coreProperties>
</file>