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
      <w:pPr>
        <w:adjustRightInd w:val="0"/>
        <w:snapToGrid w:val="0"/>
        <w:spacing w:line="360" w:lineRule="auto"/>
        <w:contextualSpacing/>
        <w:jc w:val="left"/>
        <w:outlineLvl w:val="0"/>
        <w:rPr>
          <w:rFonts w:hint="eastAsia" w:eastAsia="黑体" w:cs="Times New Roman"/>
          <w:sz w:val="28"/>
          <w:szCs w:val="28"/>
          <w:lang w:val="en-US" w:eastAsia="zh-CN"/>
        </w:rPr>
      </w:pPr>
      <w:bookmarkStart w:id="0" w:name="_Toc28539"/>
      <w:r>
        <w:rPr>
          <w:rFonts w:hint="eastAsia" w:eastAsia="黑体" w:cs="Times New Roman"/>
          <w:sz w:val="28"/>
          <w:szCs w:val="28"/>
          <w:lang w:val="en-US" w:eastAsia="zh-CN"/>
        </w:rPr>
        <w:t>附件3</w:t>
      </w:r>
    </w:p>
    <w:p>
      <w:pPr>
        <w:pStyle w:val="2"/>
        <w:rPr>
          <w:rFonts w:hint="eastAsia" w:eastAsia="黑体" w:cs="Times New Roman"/>
          <w:sz w:val="28"/>
          <w:szCs w:val="28"/>
          <w:lang w:val="en-US" w:eastAsia="zh-CN"/>
        </w:rPr>
      </w:pPr>
    </w:p>
    <w:p>
      <w:pPr>
        <w:adjustRightInd w:val="0"/>
        <w:snapToGrid w:val="0"/>
        <w:spacing w:line="360" w:lineRule="auto"/>
        <w:contextualSpacing/>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常州市工贸企业安全生产</w:t>
      </w:r>
    </w:p>
    <w:p>
      <w:pPr>
        <w:adjustRightInd w:val="0"/>
        <w:snapToGrid w:val="0"/>
        <w:spacing w:line="360" w:lineRule="auto"/>
        <w:contextualSpacing/>
        <w:jc w:val="center"/>
        <w:rPr>
          <w:rFonts w:cs="Times New Roman" w:eastAsiaTheme="minorEastAsia"/>
          <w:sz w:val="44"/>
          <w:szCs w:val="44"/>
        </w:rPr>
      </w:pPr>
      <w:r>
        <w:rPr>
          <w:rFonts w:hint="eastAsia" w:ascii="方正小标宋_GBK" w:hAnsi="方正小标宋_GBK" w:eastAsia="方正小标宋_GBK" w:cs="方正小标宋_GBK"/>
          <w:sz w:val="44"/>
          <w:szCs w:val="44"/>
        </w:rPr>
        <w:t>达标创建</w:t>
      </w:r>
    </w:p>
    <w:p>
      <w:pPr>
        <w:adjustRightInd w:val="0"/>
        <w:snapToGrid w:val="0"/>
        <w:spacing w:line="360" w:lineRule="auto"/>
        <w:contextualSpacing/>
        <w:jc w:val="center"/>
        <w:rPr>
          <w:rFonts w:cs="Times New Roman" w:eastAsiaTheme="minorEastAsia"/>
          <w:sz w:val="24"/>
        </w:rPr>
      </w:pPr>
    </w:p>
    <w:p>
      <w:pPr>
        <w:adjustRightInd w:val="0"/>
        <w:snapToGrid w:val="0"/>
        <w:spacing w:line="360" w:lineRule="auto"/>
        <w:contextualSpacing/>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工</w:t>
      </w:r>
    </w:p>
    <w:p>
      <w:pPr>
        <w:adjustRightInd w:val="0"/>
        <w:snapToGrid w:val="0"/>
        <w:spacing w:line="360" w:lineRule="auto"/>
        <w:contextualSpacing/>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作</w:t>
      </w:r>
      <w:bookmarkStart w:id="91" w:name="_GoBack"/>
      <w:bookmarkEnd w:id="91"/>
    </w:p>
    <w:p>
      <w:pPr>
        <w:adjustRightInd w:val="0"/>
        <w:snapToGrid w:val="0"/>
        <w:spacing w:line="360" w:lineRule="auto"/>
        <w:contextualSpacing/>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指</w:t>
      </w:r>
    </w:p>
    <w:p>
      <w:pPr>
        <w:adjustRightInd w:val="0"/>
        <w:snapToGrid w:val="0"/>
        <w:spacing w:line="360" w:lineRule="auto"/>
        <w:contextualSpacing/>
        <w:jc w:val="center"/>
        <w:rPr>
          <w:rFonts w:cs="Times New Roman" w:eastAsiaTheme="minorEastAsia"/>
          <w:sz w:val="44"/>
          <w:szCs w:val="44"/>
        </w:rPr>
      </w:pPr>
      <w:r>
        <w:rPr>
          <w:rFonts w:hint="eastAsia" w:ascii="方正小标宋_GBK" w:hAnsi="方正小标宋_GBK" w:eastAsia="方正小标宋_GBK" w:cs="方正小标宋_GBK"/>
          <w:sz w:val="44"/>
          <w:szCs w:val="44"/>
        </w:rPr>
        <w:t>南</w:t>
      </w:r>
    </w:p>
    <w:p>
      <w:pPr>
        <w:adjustRightInd w:val="0"/>
        <w:snapToGrid w:val="0"/>
        <w:spacing w:line="360" w:lineRule="auto"/>
        <w:contextualSpacing/>
        <w:jc w:val="left"/>
        <w:rPr>
          <w:rFonts w:cs="Times New Roman" w:eastAsiaTheme="minorEastAsia"/>
          <w:sz w:val="24"/>
        </w:rPr>
      </w:pPr>
    </w:p>
    <w:p>
      <w:pPr>
        <w:pStyle w:val="2"/>
        <w:rPr>
          <w:rFonts w:cs="Times New Roman" w:eastAsiaTheme="minorEastAsia"/>
          <w:sz w:val="24"/>
        </w:rPr>
      </w:pPr>
    </w:p>
    <w:p>
      <w:pPr>
        <w:pStyle w:val="2"/>
        <w:rPr>
          <w:rFonts w:cs="Times New Roman" w:eastAsiaTheme="minorEastAsia"/>
          <w:sz w:val="24"/>
        </w:rPr>
      </w:pPr>
    </w:p>
    <w:p>
      <w:pPr>
        <w:adjustRightInd w:val="0"/>
        <w:snapToGrid w:val="0"/>
        <w:spacing w:line="360" w:lineRule="auto"/>
        <w:contextualSpacing/>
        <w:jc w:val="left"/>
        <w:rPr>
          <w:rFonts w:cs="Times New Roman" w:eastAsiaTheme="minorEastAsia"/>
          <w:sz w:val="24"/>
        </w:rPr>
      </w:pPr>
    </w:p>
    <w:p>
      <w:pPr>
        <w:pStyle w:val="2"/>
      </w:pPr>
    </w:p>
    <w:p>
      <w:pPr>
        <w:pStyle w:val="2"/>
      </w:pPr>
    </w:p>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lang w:val="en-US" w:eastAsia="zh-CN" w:bidi="ar-SA"/>
        </w:rPr>
      </w:pPr>
    </w:p>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lang w:val="en-US" w:eastAsia="zh-CN" w:bidi="ar-SA"/>
        </w:rPr>
      </w:pPr>
    </w:p>
    <w:sdt>
      <w:sdtPr>
        <w:rPr>
          <w:rFonts w:ascii="宋体" w:hAnsi="宋体" w:eastAsia="宋体" w:cstheme="minorBidi"/>
          <w:kern w:val="2"/>
          <w:sz w:val="21"/>
          <w:szCs w:val="24"/>
          <w:lang w:val="en-US" w:eastAsia="zh-CN" w:bidi="ar-SA"/>
        </w:rPr>
        <w:id w:val="147464558"/>
        <w15:color w:val="DBDBDB"/>
        <w:docPartObj>
          <w:docPartGallery w:val="Table of Contents"/>
          <w:docPartUnique/>
        </w:docPartObj>
      </w:sdtPr>
      <w:sdtEndPr>
        <w:rPr>
          <w:rFonts w:ascii="宋体" w:hAnsi="宋体" w:eastAsia="宋体" w:cstheme="minorBidi"/>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hint="eastAsia" w:ascii="方正小标宋_GBK" w:hAnsi="方正小标宋_GBK" w:eastAsia="方正小标宋_GBK" w:cs="方正小标宋_GBK"/>
              <w:sz w:val="32"/>
              <w:szCs w:val="32"/>
            </w:rPr>
            <w:t>目录</w:t>
          </w:r>
        </w:p>
        <w:p>
          <w:pPr>
            <w:pStyle w:val="22"/>
            <w:tabs>
              <w:tab w:val="right" w:leader="dot" w:pos="6123"/>
            </w:tabs>
          </w:pPr>
          <w:r>
            <w:fldChar w:fldCharType="begin"/>
          </w:r>
          <w:r>
            <w:instrText xml:space="preserve">TOC \o "1-1" \h \u </w:instrText>
          </w:r>
          <w:r>
            <w:fldChar w:fldCharType="separate"/>
          </w:r>
          <w:r>
            <w:fldChar w:fldCharType="begin"/>
          </w:r>
          <w:r>
            <w:instrText xml:space="preserve"> HYPERLINK \l _Toc28539 </w:instrText>
          </w:r>
          <w:r>
            <w:fldChar w:fldCharType="separate"/>
          </w:r>
          <w:r>
            <w:rPr>
              <w:rFonts w:eastAsia="黑体" w:cs="Times New Roman"/>
              <w:szCs w:val="28"/>
            </w:rPr>
            <w:t>第一章 目标</w:t>
          </w:r>
          <w:r>
            <w:tab/>
          </w:r>
          <w:r>
            <w:fldChar w:fldCharType="begin"/>
          </w:r>
          <w:r>
            <w:instrText xml:space="preserve"> PAGEREF _Toc28539 \h </w:instrText>
          </w:r>
          <w:r>
            <w:fldChar w:fldCharType="separate"/>
          </w:r>
          <w:r>
            <w:t>1</w:t>
          </w:r>
          <w:r>
            <w:fldChar w:fldCharType="end"/>
          </w:r>
          <w:r>
            <w:fldChar w:fldCharType="end"/>
          </w:r>
        </w:p>
        <w:p>
          <w:pPr>
            <w:pStyle w:val="22"/>
            <w:tabs>
              <w:tab w:val="right" w:leader="dot" w:pos="6123"/>
            </w:tabs>
          </w:pPr>
          <w:r>
            <w:fldChar w:fldCharType="begin"/>
          </w:r>
          <w:r>
            <w:instrText xml:space="preserve"> HYPERLINK \l _Toc27551 </w:instrText>
          </w:r>
          <w:r>
            <w:fldChar w:fldCharType="separate"/>
          </w:r>
          <w:r>
            <w:rPr>
              <w:rFonts w:eastAsia="黑体" w:cs="Times New Roman"/>
              <w:szCs w:val="28"/>
            </w:rPr>
            <w:t>第二章 组织机构和职责</w:t>
          </w:r>
          <w:r>
            <w:tab/>
          </w:r>
          <w:r>
            <w:fldChar w:fldCharType="begin"/>
          </w:r>
          <w:r>
            <w:instrText xml:space="preserve"> PAGEREF _Toc27551 \h </w:instrText>
          </w:r>
          <w:r>
            <w:fldChar w:fldCharType="separate"/>
          </w:r>
          <w:r>
            <w:t>5</w:t>
          </w:r>
          <w:r>
            <w:fldChar w:fldCharType="end"/>
          </w:r>
          <w:r>
            <w:fldChar w:fldCharType="end"/>
          </w:r>
        </w:p>
        <w:p>
          <w:pPr>
            <w:pStyle w:val="22"/>
            <w:tabs>
              <w:tab w:val="right" w:leader="dot" w:pos="6123"/>
            </w:tabs>
          </w:pPr>
          <w:r>
            <w:fldChar w:fldCharType="begin"/>
          </w:r>
          <w:r>
            <w:instrText xml:space="preserve"> HYPERLINK \l _Toc5967 </w:instrText>
          </w:r>
          <w:r>
            <w:fldChar w:fldCharType="separate"/>
          </w:r>
          <w:r>
            <w:rPr>
              <w:rFonts w:eastAsia="黑体" w:cs="Times New Roman"/>
              <w:szCs w:val="28"/>
            </w:rPr>
            <w:t>第三章 安全生产投入</w:t>
          </w:r>
          <w:r>
            <w:tab/>
          </w:r>
          <w:r>
            <w:fldChar w:fldCharType="begin"/>
          </w:r>
          <w:r>
            <w:instrText xml:space="preserve"> PAGEREF _Toc5967 \h </w:instrText>
          </w:r>
          <w:r>
            <w:fldChar w:fldCharType="separate"/>
          </w:r>
          <w:r>
            <w:t>15</w:t>
          </w:r>
          <w:r>
            <w:fldChar w:fldCharType="end"/>
          </w:r>
          <w:r>
            <w:fldChar w:fldCharType="end"/>
          </w:r>
        </w:p>
        <w:p>
          <w:pPr>
            <w:pStyle w:val="22"/>
            <w:tabs>
              <w:tab w:val="right" w:leader="dot" w:pos="6123"/>
            </w:tabs>
          </w:pPr>
          <w:r>
            <w:fldChar w:fldCharType="begin"/>
          </w:r>
          <w:r>
            <w:instrText xml:space="preserve"> HYPERLINK \l _Toc14552 </w:instrText>
          </w:r>
          <w:r>
            <w:fldChar w:fldCharType="separate"/>
          </w:r>
          <w:r>
            <w:rPr>
              <w:rFonts w:eastAsia="黑体" w:cs="Times New Roman"/>
              <w:szCs w:val="28"/>
            </w:rPr>
            <w:t>第四章 法律法规与安全管理制度</w:t>
          </w:r>
          <w:r>
            <w:tab/>
          </w:r>
          <w:r>
            <w:fldChar w:fldCharType="begin"/>
          </w:r>
          <w:r>
            <w:instrText xml:space="preserve"> PAGEREF _Toc14552 \h </w:instrText>
          </w:r>
          <w:r>
            <w:fldChar w:fldCharType="separate"/>
          </w:r>
          <w:r>
            <w:t>19</w:t>
          </w:r>
          <w:r>
            <w:fldChar w:fldCharType="end"/>
          </w:r>
          <w:r>
            <w:fldChar w:fldCharType="end"/>
          </w:r>
        </w:p>
        <w:p>
          <w:pPr>
            <w:pStyle w:val="22"/>
            <w:tabs>
              <w:tab w:val="right" w:leader="dot" w:pos="6123"/>
            </w:tabs>
          </w:pPr>
          <w:r>
            <w:fldChar w:fldCharType="begin"/>
          </w:r>
          <w:r>
            <w:instrText xml:space="preserve"> HYPERLINK \l _Toc6045 </w:instrText>
          </w:r>
          <w:r>
            <w:fldChar w:fldCharType="separate"/>
          </w:r>
          <w:r>
            <w:rPr>
              <w:rFonts w:eastAsia="黑体" w:cs="Times New Roman"/>
              <w:szCs w:val="28"/>
            </w:rPr>
            <w:t>第五章 教育培训</w:t>
          </w:r>
          <w:r>
            <w:tab/>
          </w:r>
          <w:r>
            <w:fldChar w:fldCharType="begin"/>
          </w:r>
          <w:r>
            <w:instrText xml:space="preserve"> PAGEREF _Toc6045 \h </w:instrText>
          </w:r>
          <w:r>
            <w:fldChar w:fldCharType="separate"/>
          </w:r>
          <w:r>
            <w:t>33</w:t>
          </w:r>
          <w:r>
            <w:fldChar w:fldCharType="end"/>
          </w:r>
          <w:r>
            <w:fldChar w:fldCharType="end"/>
          </w:r>
        </w:p>
        <w:p>
          <w:pPr>
            <w:pStyle w:val="22"/>
            <w:tabs>
              <w:tab w:val="right" w:leader="dot" w:pos="6123"/>
            </w:tabs>
          </w:pPr>
          <w:r>
            <w:fldChar w:fldCharType="begin"/>
          </w:r>
          <w:r>
            <w:instrText xml:space="preserve"> HYPERLINK \l _Toc23966 </w:instrText>
          </w:r>
          <w:r>
            <w:fldChar w:fldCharType="separate"/>
          </w:r>
          <w:r>
            <w:rPr>
              <w:rFonts w:eastAsia="黑体" w:cs="Times New Roman"/>
              <w:szCs w:val="28"/>
            </w:rPr>
            <w:t>第六章 生产设备设施</w:t>
          </w:r>
          <w:r>
            <w:tab/>
          </w:r>
          <w:r>
            <w:fldChar w:fldCharType="begin"/>
          </w:r>
          <w:r>
            <w:instrText xml:space="preserve"> PAGEREF _Toc23966 \h </w:instrText>
          </w:r>
          <w:r>
            <w:fldChar w:fldCharType="separate"/>
          </w:r>
          <w:r>
            <w:t>41</w:t>
          </w:r>
          <w:r>
            <w:fldChar w:fldCharType="end"/>
          </w:r>
          <w:r>
            <w:fldChar w:fldCharType="end"/>
          </w:r>
        </w:p>
        <w:p>
          <w:pPr>
            <w:pStyle w:val="22"/>
            <w:tabs>
              <w:tab w:val="right" w:leader="dot" w:pos="6123"/>
            </w:tabs>
          </w:pPr>
          <w:r>
            <w:fldChar w:fldCharType="begin"/>
          </w:r>
          <w:r>
            <w:instrText xml:space="preserve"> HYPERLINK \l _Toc8030 </w:instrText>
          </w:r>
          <w:r>
            <w:fldChar w:fldCharType="separate"/>
          </w:r>
          <w:r>
            <w:rPr>
              <w:rFonts w:eastAsia="黑体" w:cs="Times New Roman"/>
              <w:szCs w:val="28"/>
            </w:rPr>
            <w:t>第七章 作业安全</w:t>
          </w:r>
          <w:r>
            <w:tab/>
          </w:r>
          <w:r>
            <w:fldChar w:fldCharType="begin"/>
          </w:r>
          <w:r>
            <w:instrText xml:space="preserve"> PAGEREF _Toc8030 \h </w:instrText>
          </w:r>
          <w:r>
            <w:fldChar w:fldCharType="separate"/>
          </w:r>
          <w:r>
            <w:t>78</w:t>
          </w:r>
          <w:r>
            <w:fldChar w:fldCharType="end"/>
          </w:r>
          <w:r>
            <w:fldChar w:fldCharType="end"/>
          </w:r>
        </w:p>
        <w:p>
          <w:pPr>
            <w:pStyle w:val="22"/>
            <w:tabs>
              <w:tab w:val="right" w:leader="dot" w:pos="6123"/>
            </w:tabs>
          </w:pPr>
          <w:r>
            <w:fldChar w:fldCharType="begin"/>
          </w:r>
          <w:r>
            <w:instrText xml:space="preserve"> HYPERLINK \l _Toc11974 </w:instrText>
          </w:r>
          <w:r>
            <w:fldChar w:fldCharType="separate"/>
          </w:r>
          <w:r>
            <w:rPr>
              <w:rFonts w:eastAsia="黑体" w:cs="Times New Roman"/>
              <w:szCs w:val="28"/>
            </w:rPr>
            <w:t>第八章 隐患排查和治理</w:t>
          </w:r>
          <w:r>
            <w:tab/>
          </w:r>
          <w:r>
            <w:fldChar w:fldCharType="begin"/>
          </w:r>
          <w:r>
            <w:instrText xml:space="preserve"> PAGEREF _Toc11974 \h </w:instrText>
          </w:r>
          <w:r>
            <w:fldChar w:fldCharType="separate"/>
          </w:r>
          <w:r>
            <w:t>97</w:t>
          </w:r>
          <w:r>
            <w:fldChar w:fldCharType="end"/>
          </w:r>
          <w:r>
            <w:fldChar w:fldCharType="end"/>
          </w:r>
        </w:p>
        <w:p>
          <w:pPr>
            <w:pStyle w:val="22"/>
            <w:tabs>
              <w:tab w:val="right" w:leader="dot" w:pos="6123"/>
            </w:tabs>
          </w:pPr>
          <w:r>
            <w:fldChar w:fldCharType="begin"/>
          </w:r>
          <w:r>
            <w:instrText xml:space="preserve"> HYPERLINK \l _Toc4811 </w:instrText>
          </w:r>
          <w:r>
            <w:fldChar w:fldCharType="separate"/>
          </w:r>
          <w:r>
            <w:rPr>
              <w:rFonts w:eastAsia="黑体" w:cs="Times New Roman"/>
              <w:szCs w:val="28"/>
            </w:rPr>
            <w:t>第九章 风险辨识、管控与报告</w:t>
          </w:r>
          <w:r>
            <w:tab/>
          </w:r>
          <w:r>
            <w:fldChar w:fldCharType="begin"/>
          </w:r>
          <w:r>
            <w:instrText xml:space="preserve"> PAGEREF _Toc4811 \h </w:instrText>
          </w:r>
          <w:r>
            <w:fldChar w:fldCharType="separate"/>
          </w:r>
          <w:r>
            <w:t>119</w:t>
          </w:r>
          <w:r>
            <w:fldChar w:fldCharType="end"/>
          </w:r>
          <w:r>
            <w:fldChar w:fldCharType="end"/>
          </w:r>
        </w:p>
        <w:p>
          <w:pPr>
            <w:pStyle w:val="22"/>
            <w:tabs>
              <w:tab w:val="right" w:leader="dot" w:pos="6123"/>
            </w:tabs>
          </w:pPr>
          <w:r>
            <w:fldChar w:fldCharType="begin"/>
          </w:r>
          <w:r>
            <w:instrText xml:space="preserve"> HYPERLINK \l _Toc16243 </w:instrText>
          </w:r>
          <w:r>
            <w:fldChar w:fldCharType="separate"/>
          </w:r>
          <w:r>
            <w:rPr>
              <w:rFonts w:eastAsia="黑体" w:cs="Times New Roman"/>
              <w:szCs w:val="28"/>
            </w:rPr>
            <w:t>第十章 应急救援</w:t>
          </w:r>
          <w:r>
            <w:tab/>
          </w:r>
          <w:r>
            <w:fldChar w:fldCharType="begin"/>
          </w:r>
          <w:r>
            <w:instrText xml:space="preserve"> PAGEREF _Toc16243 \h </w:instrText>
          </w:r>
          <w:r>
            <w:fldChar w:fldCharType="separate"/>
          </w:r>
          <w:r>
            <w:t>142</w:t>
          </w:r>
          <w:r>
            <w:fldChar w:fldCharType="end"/>
          </w:r>
          <w:r>
            <w:fldChar w:fldCharType="end"/>
          </w:r>
        </w:p>
        <w:p>
          <w:pPr>
            <w:pStyle w:val="22"/>
            <w:tabs>
              <w:tab w:val="right" w:leader="dot" w:pos="6123"/>
            </w:tabs>
          </w:pPr>
          <w:r>
            <w:fldChar w:fldCharType="begin"/>
          </w:r>
          <w:r>
            <w:instrText xml:space="preserve"> HYPERLINK \l _Toc16641 </w:instrText>
          </w:r>
          <w:r>
            <w:fldChar w:fldCharType="separate"/>
          </w:r>
          <w:r>
            <w:rPr>
              <w:rFonts w:eastAsia="黑体" w:cs="Times New Roman"/>
              <w:szCs w:val="28"/>
            </w:rPr>
            <w:t>第十一章</w:t>
          </w:r>
          <w:r>
            <w:rPr>
              <w:rFonts w:hint="eastAsia" w:eastAsia="黑体" w:cs="Times New Roman"/>
              <w:szCs w:val="28"/>
            </w:rPr>
            <w:t xml:space="preserve"> </w:t>
          </w:r>
          <w:r>
            <w:rPr>
              <w:rFonts w:eastAsia="黑体" w:cs="Times New Roman"/>
              <w:szCs w:val="28"/>
            </w:rPr>
            <w:t>事故报告、调查和处理</w:t>
          </w:r>
          <w:r>
            <w:tab/>
          </w:r>
          <w:r>
            <w:fldChar w:fldCharType="begin"/>
          </w:r>
          <w:r>
            <w:instrText xml:space="preserve"> PAGEREF _Toc16641 \h </w:instrText>
          </w:r>
          <w:r>
            <w:fldChar w:fldCharType="separate"/>
          </w:r>
          <w:r>
            <w:t>156</w:t>
          </w:r>
          <w:r>
            <w:fldChar w:fldCharType="end"/>
          </w:r>
          <w:r>
            <w:fldChar w:fldCharType="end"/>
          </w:r>
        </w:p>
        <w:p>
          <w:pPr>
            <w:pStyle w:val="22"/>
            <w:tabs>
              <w:tab w:val="right" w:leader="dot" w:pos="6123"/>
            </w:tabs>
          </w:pPr>
          <w:r>
            <w:fldChar w:fldCharType="begin"/>
          </w:r>
          <w:r>
            <w:instrText xml:space="preserve"> HYPERLINK \l _Toc12468 </w:instrText>
          </w:r>
          <w:r>
            <w:fldChar w:fldCharType="separate"/>
          </w:r>
          <w:r>
            <w:rPr>
              <w:rFonts w:eastAsia="黑体" w:cs="Times New Roman"/>
              <w:szCs w:val="28"/>
            </w:rPr>
            <w:t>第十二章 绩效评定和持续改进</w:t>
          </w:r>
          <w:r>
            <w:tab/>
          </w:r>
          <w:r>
            <w:fldChar w:fldCharType="begin"/>
          </w:r>
          <w:r>
            <w:instrText xml:space="preserve"> PAGEREF _Toc12468 \h </w:instrText>
          </w:r>
          <w:r>
            <w:fldChar w:fldCharType="separate"/>
          </w:r>
          <w:r>
            <w:t>163</w:t>
          </w:r>
          <w:r>
            <w:fldChar w:fldCharType="end"/>
          </w:r>
          <w:r>
            <w:fldChar w:fldCharType="end"/>
          </w:r>
        </w:p>
        <w:p>
          <w:pPr>
            <w:pStyle w:val="22"/>
            <w:tabs>
              <w:tab w:val="right" w:leader="dot" w:pos="6123"/>
            </w:tabs>
          </w:pPr>
          <w:r>
            <w:fldChar w:fldCharType="begin"/>
          </w:r>
          <w:r>
            <w:instrText xml:space="preserve"> HYPERLINK \l _Toc9138 </w:instrText>
          </w:r>
          <w:r>
            <w:fldChar w:fldCharType="separate"/>
          </w:r>
          <w:r>
            <w:rPr>
              <w:rFonts w:eastAsia="黑体" w:cs="Times New Roman"/>
              <w:szCs w:val="28"/>
            </w:rPr>
            <w:t>第十三章 其他</w:t>
          </w:r>
          <w:r>
            <w:tab/>
          </w:r>
          <w:r>
            <w:fldChar w:fldCharType="begin"/>
          </w:r>
          <w:r>
            <w:instrText xml:space="preserve"> PAGEREF _Toc9138 \h </w:instrText>
          </w:r>
          <w:r>
            <w:fldChar w:fldCharType="separate"/>
          </w:r>
          <w:r>
            <w:t>174</w:t>
          </w:r>
          <w:r>
            <w:fldChar w:fldCharType="end"/>
          </w:r>
          <w:r>
            <w:fldChar w:fldCharType="end"/>
          </w:r>
        </w:p>
        <w:p>
          <w:pPr>
            <w:pStyle w:val="22"/>
            <w:tabs>
              <w:tab w:val="right" w:leader="dot" w:pos="6123"/>
            </w:tabs>
          </w:pPr>
          <w:r>
            <w:fldChar w:fldCharType="begin"/>
          </w:r>
          <w:r>
            <w:instrText xml:space="preserve"> HYPERLINK \l _Toc26341 </w:instrText>
          </w:r>
          <w:r>
            <w:fldChar w:fldCharType="separate"/>
          </w:r>
          <w:r>
            <w:rPr>
              <w:rFonts w:eastAsia="黑体" w:cs="Times New Roman"/>
              <w:szCs w:val="28"/>
            </w:rPr>
            <w:t>第十四章 安全可视化</w:t>
          </w:r>
          <w:r>
            <w:tab/>
          </w:r>
          <w:r>
            <w:fldChar w:fldCharType="begin"/>
          </w:r>
          <w:r>
            <w:instrText xml:space="preserve"> PAGEREF _Toc26341 \h </w:instrText>
          </w:r>
          <w:r>
            <w:fldChar w:fldCharType="separate"/>
          </w:r>
          <w:r>
            <w:t>178</w:t>
          </w:r>
          <w:r>
            <w:fldChar w:fldCharType="end"/>
          </w:r>
          <w:r>
            <w:fldChar w:fldCharType="end"/>
          </w:r>
        </w:p>
        <w:p>
          <w:pPr>
            <w:adjustRightInd w:val="0"/>
            <w:snapToGrid w:val="0"/>
            <w:spacing w:line="360" w:lineRule="auto"/>
            <w:contextualSpacing/>
            <w:jc w:val="center"/>
            <w:outlineLvl w:val="0"/>
            <w:rPr>
              <w:rFonts w:ascii="宋体" w:hAnsi="宋体" w:eastAsia="宋体" w:cstheme="minorBidi"/>
              <w:kern w:val="2"/>
              <w:sz w:val="21"/>
              <w:szCs w:val="24"/>
              <w:lang w:val="en-US" w:eastAsia="zh-CN" w:bidi="ar-SA"/>
            </w:rPr>
          </w:pPr>
          <w:r>
            <w:fldChar w:fldCharType="end"/>
          </w:r>
        </w:p>
      </w:sdtContent>
    </w:sdt>
    <w:p>
      <w:pPr>
        <w:pStyle w:val="2"/>
        <w:sectPr>
          <w:footerReference r:id="rId3" w:type="default"/>
          <w:footerReference r:id="rId4" w:type="even"/>
          <w:pgSz w:w="8391" w:h="11906"/>
          <w:pgMar w:top="1418" w:right="1134" w:bottom="1077" w:left="1134" w:header="851" w:footer="992" w:gutter="0"/>
          <w:pgNumType w:start="1"/>
          <w:cols w:space="425" w:num="1"/>
          <w:docGrid w:linePitch="435" w:charSpace="0"/>
        </w:sectPr>
      </w:pPr>
    </w:p>
    <w:p>
      <w:pPr>
        <w:adjustRightInd w:val="0"/>
        <w:snapToGrid w:val="0"/>
        <w:spacing w:line="360" w:lineRule="auto"/>
        <w:contextualSpacing/>
        <w:jc w:val="center"/>
        <w:outlineLvl w:val="0"/>
        <w:rPr>
          <w:rFonts w:eastAsia="黑体" w:cs="Times New Roman"/>
          <w:sz w:val="28"/>
          <w:szCs w:val="28"/>
        </w:rPr>
      </w:pPr>
      <w:r>
        <w:rPr>
          <w:rFonts w:eastAsia="黑体" w:cs="Times New Roman"/>
          <w:sz w:val="28"/>
          <w:szCs w:val="28"/>
        </w:rPr>
        <w:t>第一章 目标</w:t>
      </w:r>
      <w:bookmarkEnd w:id="0"/>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一、企业根据自身安全生产实际，制定总体和年度安全生产目标。</w:t>
      </w:r>
    </w:p>
    <w:p>
      <w:pPr>
        <w:spacing w:line="360" w:lineRule="auto"/>
        <w:ind w:firstLine="480" w:firstLineChars="200"/>
        <w:rPr>
          <w:rFonts w:eastAsia="宋体" w:cs="Times New Roman"/>
          <w:sz w:val="24"/>
          <w:szCs w:val="21"/>
        </w:rPr>
      </w:pPr>
      <w:r>
        <w:rPr>
          <w:rFonts w:eastAsia="宋体" w:cs="Times New Roman"/>
          <w:sz w:val="24"/>
          <w:szCs w:val="21"/>
        </w:rPr>
        <w:t>（一）建立安全生产目标的管理制度，明确目标与指标的制定、分解、实施、考核等环节内容。</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eastAsia="宋体" w:cs="Times New Roman"/>
          <w:sz w:val="24"/>
          <w:szCs w:val="21"/>
        </w:rPr>
        <w:t>企业应结合实际，建立《安全生产目标管理制度》，应明确与指标的制定、分解、实施、绩效考评等环节内容。制度文件需经初评、评审、主要负责人批准、发布、人员培训和归档，形成有效的</w:t>
      </w:r>
      <w:r>
        <w:rPr>
          <w:rFonts w:hint="eastAsia" w:eastAsia="宋体" w:cs="Times New Roman"/>
          <w:sz w:val="24"/>
          <w:szCs w:val="21"/>
        </w:rPr>
        <w:t>制</w:t>
      </w:r>
      <w:r>
        <w:rPr>
          <w:rFonts w:eastAsia="宋体" w:cs="Times New Roman"/>
          <w:sz w:val="24"/>
          <w:szCs w:val="21"/>
        </w:rPr>
        <w:t>度文件。</w:t>
      </w:r>
    </w:p>
    <w:p>
      <w:pPr>
        <w:spacing w:line="360" w:lineRule="auto"/>
        <w:ind w:firstLine="480" w:firstLineChars="200"/>
        <w:rPr>
          <w:rFonts w:eastAsia="宋体" w:cs="Times New Roman"/>
          <w:sz w:val="24"/>
          <w:szCs w:val="21"/>
        </w:rPr>
      </w:pPr>
      <w:r>
        <w:rPr>
          <w:rFonts w:eastAsia="宋体" w:cs="Times New Roman"/>
          <w:sz w:val="24"/>
          <w:szCs w:val="21"/>
        </w:rPr>
        <w:t>（二）按照安全生产目标管理制度的规定，制定文件化的总体和年度安全生产目标。</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eastAsia="宋体" w:cs="Times New Roman"/>
          <w:sz w:val="24"/>
          <w:szCs w:val="21"/>
        </w:rPr>
        <w:t>企业应根据实际，制定企业总体和年度安全生产目标并以文件印发到各部门，安全生产目标应包含火灾事故、伤亡指标、培训教育合格率、特种作业人员持证率、职业病</w:t>
      </w:r>
      <w:r>
        <w:rPr>
          <w:rFonts w:hint="eastAsia" w:eastAsia="宋体" w:cs="Times New Roman"/>
          <w:sz w:val="24"/>
          <w:szCs w:val="21"/>
        </w:rPr>
        <w:t xml:space="preserve">  </w:t>
      </w:r>
      <w:r>
        <w:rPr>
          <w:rFonts w:eastAsia="宋体" w:cs="Times New Roman"/>
          <w:sz w:val="24"/>
          <w:szCs w:val="21"/>
        </w:rPr>
        <w:t>事故、安全设施完好率等，并可将安全目标设置在厂区宣传栏、车间安全看板等显著位置，实现安全生产目标可视化。</w:t>
      </w:r>
    </w:p>
    <w:p>
      <w:pPr>
        <w:spacing w:after="120"/>
        <w:jc w:val="center"/>
        <w:rPr>
          <w:rFonts w:eastAsia="宋体" w:cs="Times New Roman"/>
          <w:sz w:val="28"/>
          <w:szCs w:val="20"/>
        </w:rPr>
      </w:pPr>
      <w:r>
        <w:rPr>
          <w:rFonts w:eastAsia="宋体" w:cs="Times New Roman"/>
          <w:sz w:val="28"/>
          <w:szCs w:val="20"/>
        </w:rPr>
        <w:drawing>
          <wp:inline distT="0" distB="0" distL="0" distR="0">
            <wp:extent cx="3319780" cy="147637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extLst>
                        <a:ext uri="{28A0092B-C50C-407E-A947-70E740481C1C}">
                          <a14:useLocalDpi xmlns:a14="http://schemas.microsoft.com/office/drawing/2010/main" val="0"/>
                        </a:ext>
                      </a:extLst>
                    </a:blip>
                    <a:srcRect l="4138" t="10907" r="3350" b="6624"/>
                    <a:stretch>
                      <a:fillRect/>
                    </a:stretch>
                  </pic:blipFill>
                  <pic:spPr>
                    <a:xfrm>
                      <a:off x="0" y="0"/>
                      <a:ext cx="3322223" cy="1477334"/>
                    </a:xfrm>
                    <a:prstGeom prst="rect">
                      <a:avLst/>
                    </a:prstGeom>
                    <a:ln>
                      <a:noFill/>
                    </a:ln>
                  </pic:spPr>
                </pic:pic>
              </a:graphicData>
            </a:graphic>
          </wp:inline>
        </w:drawing>
      </w:r>
    </w:p>
    <w:p>
      <w:pPr>
        <w:pStyle w:val="2"/>
        <w:jc w:val="center"/>
        <w:rPr>
          <w:rFonts w:ascii="宋体" w:hAnsi="宋体"/>
          <w:sz w:val="21"/>
        </w:rPr>
      </w:pPr>
      <w:r>
        <w:rPr>
          <w:rFonts w:hint="eastAsia" w:ascii="宋体" w:hAnsi="宋体"/>
          <w:sz w:val="21"/>
        </w:rPr>
        <w:t>图1</w:t>
      </w:r>
      <w:r>
        <w:rPr>
          <w:rFonts w:ascii="宋体" w:hAnsi="宋体"/>
          <w:sz w:val="21"/>
        </w:rPr>
        <w:t>.1-1</w:t>
      </w:r>
      <w:r>
        <w:rPr>
          <w:rFonts w:hint="eastAsia" w:ascii="宋体" w:hAnsi="宋体"/>
          <w:sz w:val="21"/>
        </w:rPr>
        <w:t>安全看板示例</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二、按照所属基层单位和部门在生产经营中的职能，制定安全生产指标和考核办法。</w:t>
      </w:r>
    </w:p>
    <w:p>
      <w:pPr>
        <w:spacing w:line="360" w:lineRule="auto"/>
        <w:ind w:firstLine="480" w:firstLineChars="200"/>
        <w:rPr>
          <w:rFonts w:eastAsia="宋体" w:cs="Times New Roman"/>
          <w:sz w:val="24"/>
          <w:szCs w:val="21"/>
        </w:rPr>
      </w:pPr>
      <w:r>
        <w:rPr>
          <w:rFonts w:eastAsia="宋体" w:cs="Times New Roman"/>
          <w:sz w:val="24"/>
          <w:szCs w:val="21"/>
        </w:rPr>
        <w:t>（一）根据所属基层单位和部门在安全生产中的职能，分解年度安全生产目标，并制定实施计划和考核办法。</w:t>
      </w:r>
    </w:p>
    <w:p>
      <w:pPr>
        <w:pStyle w:val="2"/>
        <w:spacing w:line="360" w:lineRule="auto"/>
        <w:ind w:firstLine="482" w:firstLineChars="200"/>
        <w:rPr>
          <w:sz w:val="24"/>
          <w:szCs w:val="21"/>
        </w:rPr>
      </w:pPr>
      <w:r>
        <w:rPr>
          <w:rFonts w:hint="eastAsia"/>
          <w:b/>
          <w:sz w:val="24"/>
          <w:szCs w:val="21"/>
        </w:rPr>
        <w:t>释义：</w:t>
      </w:r>
      <w:r>
        <w:rPr>
          <w:sz w:val="24"/>
          <w:szCs w:val="21"/>
        </w:rPr>
        <w:t>所属基层单位和部门</w:t>
      </w:r>
      <w:r>
        <w:rPr>
          <w:rFonts w:hint="eastAsia"/>
          <w:sz w:val="24"/>
          <w:szCs w:val="21"/>
        </w:rPr>
        <w:t>应分解安全生产目标（见表1</w:t>
      </w:r>
      <w:r>
        <w:rPr>
          <w:sz w:val="24"/>
          <w:szCs w:val="21"/>
        </w:rPr>
        <w:t>.2</w:t>
      </w:r>
      <w:r>
        <w:rPr>
          <w:rFonts w:hint="eastAsia"/>
          <w:sz w:val="24"/>
          <w:szCs w:val="21"/>
        </w:rPr>
        <w:t>-</w:t>
      </w:r>
      <w:r>
        <w:rPr>
          <w:sz w:val="24"/>
          <w:szCs w:val="21"/>
        </w:rPr>
        <w:t>1</w:t>
      </w:r>
      <w:r>
        <w:rPr>
          <w:rFonts w:hint="eastAsia"/>
          <w:sz w:val="24"/>
          <w:szCs w:val="21"/>
        </w:rPr>
        <w:t>），制定具有针对性的实施计划或考核办法，安全计划或考核办法应覆盖所有基层单位和职能部门。</w:t>
      </w:r>
    </w:p>
    <w:p>
      <w:pPr>
        <w:spacing w:line="360" w:lineRule="auto"/>
        <w:ind w:firstLine="422" w:firstLineChars="200"/>
        <w:jc w:val="center"/>
        <w:rPr>
          <w:rFonts w:eastAsia="宋体" w:cs="Times New Roman"/>
          <w:b/>
          <w:bCs/>
          <w:sz w:val="21"/>
          <w:szCs w:val="18"/>
        </w:rPr>
      </w:pPr>
      <w:r>
        <w:rPr>
          <w:rFonts w:hint="eastAsia" w:eastAsia="宋体" w:cs="Times New Roman"/>
          <w:b/>
          <w:bCs/>
          <w:sz w:val="21"/>
          <w:szCs w:val="18"/>
        </w:rPr>
        <w:t>表1</w:t>
      </w:r>
      <w:r>
        <w:rPr>
          <w:rFonts w:eastAsia="宋体" w:cs="Times New Roman"/>
          <w:b/>
          <w:bCs/>
          <w:sz w:val="21"/>
          <w:szCs w:val="18"/>
        </w:rPr>
        <w:t>.2</w:t>
      </w:r>
      <w:r>
        <w:rPr>
          <w:rFonts w:hint="eastAsia" w:eastAsia="宋体" w:cs="Times New Roman"/>
          <w:b/>
          <w:bCs/>
          <w:sz w:val="21"/>
          <w:szCs w:val="18"/>
        </w:rPr>
        <w:t>-</w:t>
      </w:r>
      <w:r>
        <w:rPr>
          <w:rFonts w:eastAsia="宋体" w:cs="Times New Roman"/>
          <w:b/>
          <w:bCs/>
          <w:sz w:val="21"/>
          <w:szCs w:val="18"/>
        </w:rPr>
        <w:t>1各部门年度安全目标分解表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126"/>
        <w:gridCol w:w="709"/>
        <w:gridCol w:w="708"/>
        <w:gridCol w:w="709"/>
        <w:gridCol w:w="709"/>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Merge w:val="restart"/>
            <w:vAlign w:val="center"/>
          </w:tcPr>
          <w:p>
            <w:pPr>
              <w:spacing w:after="120" w:line="240" w:lineRule="exact"/>
              <w:jc w:val="center"/>
              <w:rPr>
                <w:rFonts w:eastAsia="宋体" w:cs="Times New Roman"/>
                <w:sz w:val="21"/>
                <w:szCs w:val="21"/>
              </w:rPr>
            </w:pPr>
            <w:r>
              <w:rPr>
                <w:rFonts w:eastAsia="宋体" w:cs="Times New Roman"/>
                <w:sz w:val="21"/>
                <w:szCs w:val="21"/>
              </w:rPr>
              <w:t>序号</w:t>
            </w:r>
          </w:p>
        </w:tc>
        <w:tc>
          <w:tcPr>
            <w:tcW w:w="2126" w:type="dxa"/>
            <w:vMerge w:val="restart"/>
            <w:vAlign w:val="center"/>
          </w:tcPr>
          <w:p>
            <w:pPr>
              <w:spacing w:after="120" w:line="240" w:lineRule="exact"/>
              <w:jc w:val="center"/>
              <w:rPr>
                <w:rFonts w:eastAsia="宋体" w:cs="Times New Roman"/>
                <w:sz w:val="21"/>
                <w:szCs w:val="21"/>
              </w:rPr>
            </w:pPr>
            <w:r>
              <w:rPr>
                <w:rFonts w:eastAsia="宋体" w:cs="Times New Roman"/>
                <w:sz w:val="21"/>
                <w:szCs w:val="21"/>
              </w:rPr>
              <w:t>目标</w:t>
            </w:r>
          </w:p>
        </w:tc>
        <w:tc>
          <w:tcPr>
            <w:tcW w:w="3566" w:type="dxa"/>
            <w:gridSpan w:val="5"/>
            <w:vAlign w:val="center"/>
          </w:tcPr>
          <w:p>
            <w:pPr>
              <w:spacing w:after="120" w:line="240" w:lineRule="exact"/>
              <w:jc w:val="center"/>
              <w:rPr>
                <w:rFonts w:eastAsia="宋体" w:cs="Times New Roman"/>
                <w:sz w:val="21"/>
                <w:szCs w:val="21"/>
              </w:rPr>
            </w:pPr>
            <w:r>
              <w:rPr>
                <w:rFonts w:eastAsia="宋体" w:cs="Times New Roman"/>
                <w:sz w:val="21"/>
                <w:szCs w:val="21"/>
              </w:rPr>
              <w:t>各部门指标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Merge w:val="continue"/>
            <w:vAlign w:val="center"/>
          </w:tcPr>
          <w:p>
            <w:pPr>
              <w:spacing w:after="120" w:line="240" w:lineRule="exact"/>
              <w:jc w:val="center"/>
              <w:rPr>
                <w:rFonts w:eastAsia="宋体" w:cs="Times New Roman"/>
                <w:sz w:val="21"/>
                <w:szCs w:val="21"/>
              </w:rPr>
            </w:pPr>
          </w:p>
        </w:tc>
        <w:tc>
          <w:tcPr>
            <w:tcW w:w="2126" w:type="dxa"/>
            <w:vMerge w:val="continue"/>
            <w:vAlign w:val="center"/>
          </w:tcPr>
          <w:p>
            <w:pPr>
              <w:spacing w:after="120" w:line="240" w:lineRule="exact"/>
              <w:jc w:val="center"/>
              <w:rPr>
                <w:rFonts w:eastAsia="宋体" w:cs="Times New Roman"/>
                <w:sz w:val="21"/>
                <w:szCs w:val="21"/>
              </w:rPr>
            </w:pP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生产部</w:t>
            </w:r>
          </w:p>
        </w:tc>
        <w:tc>
          <w:tcPr>
            <w:tcW w:w="708" w:type="dxa"/>
            <w:vAlign w:val="center"/>
          </w:tcPr>
          <w:p>
            <w:pPr>
              <w:spacing w:after="120" w:line="240" w:lineRule="exact"/>
              <w:jc w:val="center"/>
              <w:rPr>
                <w:rFonts w:eastAsia="宋体" w:cs="Times New Roman"/>
                <w:sz w:val="21"/>
                <w:szCs w:val="21"/>
              </w:rPr>
            </w:pPr>
            <w:r>
              <w:rPr>
                <w:rFonts w:eastAsia="宋体" w:cs="Times New Roman"/>
                <w:sz w:val="21"/>
                <w:szCs w:val="21"/>
              </w:rPr>
              <w:t>设备部</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安全部</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物流部</w:t>
            </w:r>
          </w:p>
        </w:tc>
        <w:tc>
          <w:tcPr>
            <w:tcW w:w="731" w:type="dxa"/>
            <w:vAlign w:val="center"/>
          </w:tcPr>
          <w:p>
            <w:pPr>
              <w:spacing w:after="120" w:line="240" w:lineRule="exact"/>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Align w:val="center"/>
          </w:tcPr>
          <w:p>
            <w:pPr>
              <w:spacing w:after="120" w:line="240" w:lineRule="exact"/>
              <w:jc w:val="center"/>
              <w:rPr>
                <w:rFonts w:eastAsia="宋体" w:cs="Times New Roman"/>
                <w:sz w:val="21"/>
                <w:szCs w:val="21"/>
              </w:rPr>
            </w:pPr>
            <w:r>
              <w:rPr>
                <w:rFonts w:eastAsia="宋体" w:cs="Times New Roman"/>
                <w:sz w:val="21"/>
                <w:szCs w:val="21"/>
              </w:rPr>
              <w:t>1</w:t>
            </w:r>
          </w:p>
        </w:tc>
        <w:tc>
          <w:tcPr>
            <w:tcW w:w="2126" w:type="dxa"/>
            <w:vAlign w:val="center"/>
          </w:tcPr>
          <w:p>
            <w:pPr>
              <w:spacing w:after="120" w:line="240" w:lineRule="exact"/>
              <w:jc w:val="center"/>
              <w:rPr>
                <w:rFonts w:eastAsia="宋体" w:cs="Times New Roman"/>
                <w:sz w:val="21"/>
                <w:szCs w:val="21"/>
              </w:rPr>
            </w:pPr>
            <w:r>
              <w:rPr>
                <w:rFonts w:eastAsia="宋体" w:cs="Times New Roman"/>
                <w:sz w:val="21"/>
                <w:szCs w:val="21"/>
              </w:rPr>
              <w:t>死亡及重伤事故为0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08"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31"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Align w:val="center"/>
          </w:tcPr>
          <w:p>
            <w:pPr>
              <w:spacing w:after="120" w:line="240" w:lineRule="exact"/>
              <w:jc w:val="center"/>
              <w:rPr>
                <w:rFonts w:eastAsia="宋体" w:cs="Times New Roman"/>
                <w:sz w:val="21"/>
                <w:szCs w:val="21"/>
              </w:rPr>
            </w:pPr>
            <w:r>
              <w:rPr>
                <w:rFonts w:eastAsia="宋体" w:cs="Times New Roman"/>
                <w:sz w:val="21"/>
                <w:szCs w:val="21"/>
              </w:rPr>
              <w:t>2</w:t>
            </w:r>
          </w:p>
        </w:tc>
        <w:tc>
          <w:tcPr>
            <w:tcW w:w="2126" w:type="dxa"/>
            <w:vAlign w:val="center"/>
          </w:tcPr>
          <w:p>
            <w:pPr>
              <w:spacing w:after="120" w:line="240" w:lineRule="exact"/>
              <w:jc w:val="center"/>
              <w:rPr>
                <w:rFonts w:eastAsia="宋体" w:cs="Times New Roman"/>
                <w:sz w:val="21"/>
                <w:szCs w:val="21"/>
              </w:rPr>
            </w:pPr>
            <w:r>
              <w:rPr>
                <w:rFonts w:eastAsia="宋体" w:cs="Times New Roman"/>
                <w:sz w:val="21"/>
                <w:szCs w:val="21"/>
              </w:rPr>
              <w:t>轻伤事故为0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08"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31"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Align w:val="center"/>
          </w:tcPr>
          <w:p>
            <w:pPr>
              <w:spacing w:after="120" w:line="240" w:lineRule="exact"/>
              <w:jc w:val="center"/>
              <w:rPr>
                <w:rFonts w:eastAsia="宋体" w:cs="Times New Roman"/>
                <w:sz w:val="21"/>
                <w:szCs w:val="21"/>
              </w:rPr>
            </w:pPr>
            <w:r>
              <w:rPr>
                <w:rFonts w:eastAsia="宋体" w:cs="Times New Roman"/>
                <w:sz w:val="21"/>
                <w:szCs w:val="21"/>
              </w:rPr>
              <w:t>3</w:t>
            </w:r>
          </w:p>
        </w:tc>
        <w:tc>
          <w:tcPr>
            <w:tcW w:w="2126" w:type="dxa"/>
            <w:vAlign w:val="center"/>
          </w:tcPr>
          <w:p>
            <w:pPr>
              <w:spacing w:after="120" w:line="240" w:lineRule="exact"/>
              <w:jc w:val="center"/>
              <w:rPr>
                <w:rFonts w:eastAsia="宋体" w:cs="Times New Roman"/>
                <w:sz w:val="21"/>
                <w:szCs w:val="21"/>
              </w:rPr>
            </w:pPr>
            <w:r>
              <w:rPr>
                <w:rFonts w:eastAsia="宋体" w:cs="Times New Roman"/>
                <w:sz w:val="21"/>
                <w:szCs w:val="21"/>
              </w:rPr>
              <w:t>火灾事故为0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08"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c>
          <w:tcPr>
            <w:tcW w:w="731" w:type="dxa"/>
            <w:vAlign w:val="center"/>
          </w:tcPr>
          <w:p>
            <w:pPr>
              <w:spacing w:after="120" w:line="240" w:lineRule="exact"/>
              <w:jc w:val="center"/>
              <w:rPr>
                <w:rFonts w:eastAsia="宋体" w:cs="Times New Roman"/>
                <w:sz w:val="21"/>
                <w:szCs w:val="21"/>
              </w:rPr>
            </w:pPr>
            <w:r>
              <w:rPr>
                <w:rFonts w:eastAsia="宋体" w:cs="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Align w:val="center"/>
          </w:tcPr>
          <w:p>
            <w:pPr>
              <w:spacing w:after="120" w:line="240" w:lineRule="exact"/>
              <w:jc w:val="center"/>
              <w:rPr>
                <w:rFonts w:eastAsia="宋体" w:cs="Times New Roman"/>
                <w:sz w:val="21"/>
                <w:szCs w:val="21"/>
              </w:rPr>
            </w:pPr>
            <w:r>
              <w:rPr>
                <w:rFonts w:eastAsia="宋体" w:cs="Times New Roman"/>
                <w:sz w:val="21"/>
                <w:szCs w:val="21"/>
              </w:rPr>
              <w:t>4</w:t>
            </w:r>
          </w:p>
        </w:tc>
        <w:tc>
          <w:tcPr>
            <w:tcW w:w="2126" w:type="dxa"/>
            <w:vAlign w:val="center"/>
          </w:tcPr>
          <w:p>
            <w:pPr>
              <w:spacing w:after="120" w:line="240" w:lineRule="exact"/>
              <w:jc w:val="center"/>
              <w:rPr>
                <w:rFonts w:eastAsia="宋体" w:cs="Times New Roman"/>
                <w:sz w:val="21"/>
                <w:szCs w:val="21"/>
              </w:rPr>
            </w:pPr>
            <w:r>
              <w:rPr>
                <w:rFonts w:eastAsia="宋体" w:cs="Times New Roman"/>
                <w:sz w:val="21"/>
                <w:szCs w:val="21"/>
              </w:rPr>
              <w:t>特种作业人员持证率100%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100%</w:t>
            </w:r>
          </w:p>
        </w:tc>
        <w:tc>
          <w:tcPr>
            <w:tcW w:w="708" w:type="dxa"/>
            <w:vAlign w:val="center"/>
          </w:tcPr>
          <w:p>
            <w:pPr>
              <w:spacing w:after="120" w:line="240" w:lineRule="exact"/>
              <w:jc w:val="center"/>
              <w:rPr>
                <w:rFonts w:eastAsia="宋体" w:cs="Times New Roman"/>
                <w:sz w:val="21"/>
                <w:szCs w:val="21"/>
              </w:rPr>
            </w:pPr>
            <w:r>
              <w:rPr>
                <w:rFonts w:eastAsia="宋体" w:cs="Times New Roman"/>
                <w:sz w:val="21"/>
                <w:szCs w:val="21"/>
              </w:rPr>
              <w:t>100%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100%</w:t>
            </w:r>
          </w:p>
        </w:tc>
        <w:tc>
          <w:tcPr>
            <w:tcW w:w="709" w:type="dxa"/>
            <w:vAlign w:val="center"/>
          </w:tcPr>
          <w:p>
            <w:pPr>
              <w:spacing w:after="120" w:line="240" w:lineRule="exact"/>
              <w:jc w:val="center"/>
              <w:rPr>
                <w:rFonts w:eastAsia="宋体" w:cs="Times New Roman"/>
                <w:sz w:val="21"/>
                <w:szCs w:val="21"/>
              </w:rPr>
            </w:pPr>
            <w:r>
              <w:rPr>
                <w:rFonts w:eastAsia="宋体" w:cs="Times New Roman"/>
                <w:sz w:val="21"/>
                <w:szCs w:val="21"/>
              </w:rPr>
              <w:t>100%</w:t>
            </w:r>
          </w:p>
        </w:tc>
        <w:tc>
          <w:tcPr>
            <w:tcW w:w="731" w:type="dxa"/>
            <w:vAlign w:val="center"/>
          </w:tcPr>
          <w:p>
            <w:pPr>
              <w:spacing w:after="120" w:line="240" w:lineRule="exact"/>
              <w:jc w:val="center"/>
              <w:rPr>
                <w:rFonts w:eastAsia="宋体" w:cs="Times New Roman"/>
                <w:sz w:val="21"/>
                <w:szCs w:val="21"/>
              </w:rPr>
            </w:pPr>
            <w:r>
              <w:rPr>
                <w:rFonts w:eastAsia="宋体"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Align w:val="center"/>
          </w:tcPr>
          <w:p>
            <w:pPr>
              <w:spacing w:after="120" w:line="360" w:lineRule="auto"/>
              <w:jc w:val="center"/>
              <w:rPr>
                <w:rFonts w:eastAsia="宋体" w:cs="Times New Roman"/>
                <w:sz w:val="21"/>
                <w:szCs w:val="21"/>
              </w:rPr>
            </w:pPr>
            <w:r>
              <w:rPr>
                <w:rFonts w:eastAsia="宋体" w:cs="Times New Roman"/>
                <w:sz w:val="21"/>
                <w:szCs w:val="21"/>
              </w:rPr>
              <w:t>5</w:t>
            </w:r>
          </w:p>
        </w:tc>
        <w:tc>
          <w:tcPr>
            <w:tcW w:w="2126" w:type="dxa"/>
            <w:vAlign w:val="center"/>
          </w:tcPr>
          <w:p>
            <w:pPr>
              <w:spacing w:after="120" w:line="360" w:lineRule="auto"/>
              <w:jc w:val="center"/>
              <w:rPr>
                <w:rFonts w:eastAsia="宋体" w:cs="Times New Roman"/>
                <w:sz w:val="21"/>
                <w:szCs w:val="21"/>
              </w:rPr>
            </w:pPr>
            <w:r>
              <w:rPr>
                <w:rFonts w:eastAsia="宋体" w:cs="Times New Roman"/>
                <w:sz w:val="21"/>
                <w:szCs w:val="21"/>
              </w:rPr>
              <w:t>………</w:t>
            </w:r>
          </w:p>
        </w:tc>
        <w:tc>
          <w:tcPr>
            <w:tcW w:w="709" w:type="dxa"/>
            <w:vAlign w:val="center"/>
          </w:tcPr>
          <w:p>
            <w:pPr>
              <w:spacing w:after="120" w:line="360" w:lineRule="auto"/>
              <w:jc w:val="center"/>
              <w:rPr>
                <w:rFonts w:eastAsia="宋体" w:cs="Times New Roman"/>
                <w:sz w:val="21"/>
                <w:szCs w:val="21"/>
              </w:rPr>
            </w:pPr>
          </w:p>
        </w:tc>
        <w:tc>
          <w:tcPr>
            <w:tcW w:w="708" w:type="dxa"/>
            <w:vAlign w:val="center"/>
          </w:tcPr>
          <w:p>
            <w:pPr>
              <w:spacing w:after="120" w:line="360" w:lineRule="auto"/>
              <w:jc w:val="center"/>
              <w:rPr>
                <w:rFonts w:eastAsia="宋体" w:cs="Times New Roman"/>
                <w:sz w:val="21"/>
                <w:szCs w:val="21"/>
              </w:rPr>
            </w:pPr>
          </w:p>
        </w:tc>
        <w:tc>
          <w:tcPr>
            <w:tcW w:w="709" w:type="dxa"/>
            <w:vAlign w:val="center"/>
          </w:tcPr>
          <w:p>
            <w:pPr>
              <w:spacing w:after="120" w:line="360" w:lineRule="auto"/>
              <w:jc w:val="center"/>
              <w:rPr>
                <w:rFonts w:eastAsia="宋体" w:cs="Times New Roman"/>
                <w:sz w:val="21"/>
                <w:szCs w:val="21"/>
              </w:rPr>
            </w:pPr>
          </w:p>
        </w:tc>
        <w:tc>
          <w:tcPr>
            <w:tcW w:w="709" w:type="dxa"/>
            <w:vAlign w:val="center"/>
          </w:tcPr>
          <w:p>
            <w:pPr>
              <w:spacing w:after="120" w:line="360" w:lineRule="auto"/>
              <w:jc w:val="center"/>
              <w:rPr>
                <w:rFonts w:eastAsia="宋体" w:cs="Times New Roman"/>
                <w:sz w:val="21"/>
                <w:szCs w:val="21"/>
              </w:rPr>
            </w:pPr>
          </w:p>
        </w:tc>
        <w:tc>
          <w:tcPr>
            <w:tcW w:w="731" w:type="dxa"/>
            <w:vAlign w:val="center"/>
          </w:tcPr>
          <w:p>
            <w:pPr>
              <w:spacing w:after="120" w:line="360" w:lineRule="auto"/>
              <w:jc w:val="center"/>
              <w:rPr>
                <w:rFonts w:eastAsia="宋体" w:cs="Times New Roman"/>
                <w:sz w:val="21"/>
                <w:szCs w:val="21"/>
              </w:rPr>
            </w:pPr>
          </w:p>
        </w:tc>
      </w:tr>
    </w:tbl>
    <w:p>
      <w:pPr>
        <w:spacing w:line="360" w:lineRule="auto"/>
        <w:ind w:firstLine="480" w:firstLineChars="200"/>
        <w:rPr>
          <w:rFonts w:eastAsia="宋体" w:cs="Times New Roman"/>
          <w:sz w:val="24"/>
          <w:szCs w:val="21"/>
        </w:rPr>
      </w:pPr>
    </w:p>
    <w:p>
      <w:pPr>
        <w:spacing w:line="360" w:lineRule="auto"/>
        <w:ind w:firstLine="480" w:firstLineChars="200"/>
        <w:rPr>
          <w:rFonts w:eastAsia="宋体" w:cs="Times New Roman"/>
          <w:b/>
          <w:bCs/>
          <w:sz w:val="24"/>
          <w:szCs w:val="21"/>
        </w:rPr>
      </w:pPr>
      <w:r>
        <w:rPr>
          <w:rFonts w:eastAsia="宋体" w:cs="Times New Roman"/>
          <w:sz w:val="24"/>
          <w:szCs w:val="21"/>
        </w:rPr>
        <w:t>（二）按照制度规定，对安全生产目标和指标实施计划的执行情况进行监测，并保存有关监测记录资料。</w:t>
      </w:r>
      <w:r>
        <w:rPr>
          <w:rFonts w:hint="eastAsia" w:eastAsia="宋体" w:cs="Times New Roman"/>
          <w:sz w:val="24"/>
          <w:szCs w:val="21"/>
        </w:rPr>
        <w:t>见表1</w:t>
      </w:r>
      <w:r>
        <w:rPr>
          <w:rFonts w:eastAsia="宋体" w:cs="Times New Roman"/>
          <w:sz w:val="24"/>
          <w:szCs w:val="21"/>
        </w:rPr>
        <w:t>.2</w:t>
      </w:r>
      <w:r>
        <w:rPr>
          <w:rFonts w:hint="eastAsia" w:eastAsia="宋体" w:cs="Times New Roman"/>
          <w:sz w:val="24"/>
          <w:szCs w:val="21"/>
        </w:rPr>
        <w:t>-</w:t>
      </w:r>
      <w:r>
        <w:rPr>
          <w:rFonts w:eastAsia="宋体" w:cs="Times New Roman"/>
          <w:sz w:val="24"/>
          <w:szCs w:val="21"/>
        </w:rPr>
        <w:t>2</w:t>
      </w:r>
      <w:r>
        <w:rPr>
          <w:rFonts w:hint="eastAsia" w:eastAsia="宋体" w:cs="Times New Roman"/>
          <w:sz w:val="24"/>
          <w:szCs w:val="21"/>
        </w:rPr>
        <w:t>。</w:t>
      </w:r>
    </w:p>
    <w:p>
      <w:pPr>
        <w:spacing w:after="120"/>
        <w:jc w:val="center"/>
        <w:rPr>
          <w:rFonts w:eastAsia="宋体" w:cs="Times New Roman"/>
          <w:b/>
          <w:bCs/>
          <w:sz w:val="21"/>
          <w:szCs w:val="18"/>
        </w:rPr>
      </w:pPr>
      <w:r>
        <w:rPr>
          <w:rFonts w:hint="eastAsia" w:eastAsia="宋体" w:cs="Times New Roman"/>
          <w:b/>
          <w:bCs/>
          <w:sz w:val="21"/>
          <w:szCs w:val="18"/>
        </w:rPr>
        <w:t>表1</w:t>
      </w:r>
      <w:r>
        <w:rPr>
          <w:rFonts w:eastAsia="宋体" w:cs="Times New Roman"/>
          <w:b/>
          <w:bCs/>
          <w:sz w:val="21"/>
          <w:szCs w:val="18"/>
        </w:rPr>
        <w:t>.2</w:t>
      </w:r>
      <w:r>
        <w:rPr>
          <w:rFonts w:hint="eastAsia" w:eastAsia="宋体" w:cs="Times New Roman"/>
          <w:b/>
          <w:bCs/>
          <w:sz w:val="21"/>
          <w:szCs w:val="18"/>
        </w:rPr>
        <w:t>-</w:t>
      </w:r>
      <w:r>
        <w:rPr>
          <w:rFonts w:eastAsia="宋体" w:cs="Times New Roman"/>
          <w:b/>
          <w:bCs/>
          <w:sz w:val="21"/>
          <w:szCs w:val="18"/>
        </w:rPr>
        <w:t>2安全生产目标和指标达成情况统计表</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8"/>
        <w:gridCol w:w="689"/>
        <w:gridCol w:w="323"/>
        <w:gridCol w:w="323"/>
        <w:gridCol w:w="323"/>
        <w:gridCol w:w="323"/>
        <w:gridCol w:w="323"/>
        <w:gridCol w:w="323"/>
        <w:gridCol w:w="323"/>
        <w:gridCol w:w="323"/>
        <w:gridCol w:w="323"/>
        <w:gridCol w:w="429"/>
        <w:gridCol w:w="429"/>
        <w:gridCol w:w="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6113" w:type="dxa"/>
            <w:gridSpan w:val="14"/>
            <w:vAlign w:val="center"/>
          </w:tcPr>
          <w:p>
            <w:pPr>
              <w:spacing w:line="240" w:lineRule="exact"/>
              <w:jc w:val="left"/>
              <w:rPr>
                <w:rFonts w:ascii="Calibri" w:hAnsi="Calibri" w:eastAsia="宋体" w:cs="Times New Roman"/>
                <w:sz w:val="21"/>
                <w:szCs w:val="21"/>
              </w:rPr>
            </w:pPr>
            <w:r>
              <w:rPr>
                <w:rFonts w:ascii="Calibri" w:hAnsi="Calibri" w:eastAsia="宋体" w:cs="Times New Roman"/>
                <w:sz w:val="21"/>
                <w:szCs w:val="21"/>
              </w:rPr>
              <w:t>部门：生产部   统计人：×××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278" w:type="dxa"/>
            <w:vMerge w:val="restart"/>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安全目标</w:t>
            </w:r>
          </w:p>
        </w:tc>
        <w:tc>
          <w:tcPr>
            <w:tcW w:w="689" w:type="dxa"/>
            <w:vMerge w:val="restart"/>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部门指标</w:t>
            </w:r>
          </w:p>
        </w:tc>
        <w:tc>
          <w:tcPr>
            <w:tcW w:w="4146" w:type="dxa"/>
            <w:gridSpan w:val="12"/>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各月实际业绩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278" w:type="dxa"/>
            <w:vMerge w:val="continue"/>
            <w:vAlign w:val="center"/>
          </w:tcPr>
          <w:p>
            <w:pPr>
              <w:spacing w:line="240" w:lineRule="exact"/>
              <w:jc w:val="center"/>
              <w:rPr>
                <w:rFonts w:ascii="Calibri" w:hAnsi="Calibri" w:eastAsia="宋体" w:cs="Times New Roman"/>
                <w:sz w:val="21"/>
                <w:szCs w:val="21"/>
              </w:rPr>
            </w:pPr>
          </w:p>
        </w:tc>
        <w:tc>
          <w:tcPr>
            <w:tcW w:w="689" w:type="dxa"/>
            <w:vMerge w:val="continue"/>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1</w:t>
            </w:r>
          </w:p>
        </w:tc>
        <w:tc>
          <w:tcPr>
            <w:tcW w:w="320"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2</w:t>
            </w:r>
          </w:p>
        </w:tc>
        <w:tc>
          <w:tcPr>
            <w:tcW w:w="320"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3</w:t>
            </w:r>
          </w:p>
        </w:tc>
        <w:tc>
          <w:tcPr>
            <w:tcW w:w="320"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4</w:t>
            </w:r>
          </w:p>
        </w:tc>
        <w:tc>
          <w:tcPr>
            <w:tcW w:w="320"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5</w:t>
            </w:r>
          </w:p>
        </w:tc>
        <w:tc>
          <w:tcPr>
            <w:tcW w:w="320"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6</w:t>
            </w:r>
          </w:p>
        </w:tc>
        <w:tc>
          <w:tcPr>
            <w:tcW w:w="320"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7</w:t>
            </w:r>
          </w:p>
        </w:tc>
        <w:tc>
          <w:tcPr>
            <w:tcW w:w="320"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8</w:t>
            </w:r>
          </w:p>
        </w:tc>
        <w:tc>
          <w:tcPr>
            <w:tcW w:w="320"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9</w:t>
            </w:r>
          </w:p>
        </w:tc>
        <w:tc>
          <w:tcPr>
            <w:tcW w:w="424"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10</w:t>
            </w:r>
          </w:p>
        </w:tc>
        <w:tc>
          <w:tcPr>
            <w:tcW w:w="418"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11</w:t>
            </w:r>
          </w:p>
        </w:tc>
        <w:tc>
          <w:tcPr>
            <w:tcW w:w="424"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1278"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重伤、死亡事故为0</w:t>
            </w:r>
          </w:p>
        </w:tc>
        <w:tc>
          <w:tcPr>
            <w:tcW w:w="689"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0</w:t>
            </w: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424" w:type="dxa"/>
            <w:vAlign w:val="center"/>
          </w:tcPr>
          <w:p>
            <w:pPr>
              <w:spacing w:line="240" w:lineRule="exact"/>
              <w:jc w:val="center"/>
              <w:rPr>
                <w:rFonts w:ascii="Calibri" w:hAnsi="Calibri" w:eastAsia="宋体" w:cs="Times New Roman"/>
                <w:sz w:val="21"/>
                <w:szCs w:val="21"/>
              </w:rPr>
            </w:pPr>
          </w:p>
        </w:tc>
        <w:tc>
          <w:tcPr>
            <w:tcW w:w="418" w:type="dxa"/>
            <w:vAlign w:val="center"/>
          </w:tcPr>
          <w:p>
            <w:pPr>
              <w:spacing w:line="240" w:lineRule="exact"/>
              <w:jc w:val="center"/>
              <w:rPr>
                <w:rFonts w:ascii="Calibri" w:hAnsi="Calibri" w:eastAsia="宋体" w:cs="Times New Roman"/>
                <w:sz w:val="21"/>
                <w:szCs w:val="21"/>
              </w:rPr>
            </w:pPr>
          </w:p>
        </w:tc>
        <w:tc>
          <w:tcPr>
            <w:tcW w:w="424" w:type="dxa"/>
            <w:vAlign w:val="center"/>
          </w:tcPr>
          <w:p>
            <w:pPr>
              <w:spacing w:line="240" w:lineRule="exact"/>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78"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轻伤事故为0</w:t>
            </w:r>
          </w:p>
        </w:tc>
        <w:tc>
          <w:tcPr>
            <w:tcW w:w="689"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0</w:t>
            </w: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424" w:type="dxa"/>
            <w:vAlign w:val="center"/>
          </w:tcPr>
          <w:p>
            <w:pPr>
              <w:spacing w:line="240" w:lineRule="exact"/>
              <w:jc w:val="center"/>
              <w:rPr>
                <w:rFonts w:ascii="Calibri" w:hAnsi="Calibri" w:eastAsia="宋体" w:cs="Times New Roman"/>
                <w:sz w:val="21"/>
                <w:szCs w:val="21"/>
              </w:rPr>
            </w:pPr>
          </w:p>
        </w:tc>
        <w:tc>
          <w:tcPr>
            <w:tcW w:w="418" w:type="dxa"/>
            <w:vAlign w:val="center"/>
          </w:tcPr>
          <w:p>
            <w:pPr>
              <w:spacing w:line="240" w:lineRule="exact"/>
              <w:jc w:val="center"/>
              <w:rPr>
                <w:rFonts w:ascii="Calibri" w:hAnsi="Calibri" w:eastAsia="宋体" w:cs="Times New Roman"/>
                <w:sz w:val="21"/>
                <w:szCs w:val="21"/>
              </w:rPr>
            </w:pPr>
          </w:p>
        </w:tc>
        <w:tc>
          <w:tcPr>
            <w:tcW w:w="424" w:type="dxa"/>
            <w:vAlign w:val="center"/>
          </w:tcPr>
          <w:p>
            <w:pPr>
              <w:spacing w:line="240" w:lineRule="exact"/>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78"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火灾事故为0</w:t>
            </w:r>
          </w:p>
        </w:tc>
        <w:tc>
          <w:tcPr>
            <w:tcW w:w="689"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0</w:t>
            </w: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tcPr>
          <w:p>
            <w:pPr>
              <w:spacing w:line="240" w:lineRule="exact"/>
              <w:jc w:val="center"/>
              <w:rPr>
                <w:rFonts w:ascii="Calibri" w:hAnsi="Calibri" w:eastAsia="宋体" w:cs="Times New Roman"/>
                <w:sz w:val="21"/>
                <w:szCs w:val="21"/>
              </w:rPr>
            </w:pPr>
          </w:p>
        </w:tc>
        <w:tc>
          <w:tcPr>
            <w:tcW w:w="320" w:type="dxa"/>
          </w:tcPr>
          <w:p>
            <w:pPr>
              <w:spacing w:line="240" w:lineRule="exact"/>
              <w:jc w:val="center"/>
              <w:rPr>
                <w:rFonts w:ascii="Calibri" w:hAnsi="Calibri" w:eastAsia="宋体" w:cs="Times New Roman"/>
                <w:sz w:val="21"/>
                <w:szCs w:val="21"/>
              </w:rPr>
            </w:pPr>
          </w:p>
        </w:tc>
        <w:tc>
          <w:tcPr>
            <w:tcW w:w="320" w:type="dxa"/>
          </w:tcPr>
          <w:p>
            <w:pPr>
              <w:spacing w:line="240" w:lineRule="exact"/>
              <w:jc w:val="center"/>
              <w:rPr>
                <w:rFonts w:ascii="Calibri" w:hAnsi="Calibri" w:eastAsia="宋体" w:cs="Times New Roman"/>
                <w:sz w:val="21"/>
                <w:szCs w:val="21"/>
              </w:rPr>
            </w:pPr>
          </w:p>
        </w:tc>
        <w:tc>
          <w:tcPr>
            <w:tcW w:w="424" w:type="dxa"/>
          </w:tcPr>
          <w:p>
            <w:pPr>
              <w:spacing w:line="240" w:lineRule="exact"/>
              <w:jc w:val="center"/>
              <w:rPr>
                <w:rFonts w:ascii="Calibri" w:hAnsi="Calibri" w:eastAsia="宋体" w:cs="Times New Roman"/>
                <w:sz w:val="21"/>
                <w:szCs w:val="21"/>
              </w:rPr>
            </w:pPr>
          </w:p>
        </w:tc>
        <w:tc>
          <w:tcPr>
            <w:tcW w:w="418" w:type="dxa"/>
          </w:tcPr>
          <w:p>
            <w:pPr>
              <w:spacing w:line="240" w:lineRule="exact"/>
              <w:jc w:val="center"/>
              <w:rPr>
                <w:rFonts w:ascii="Calibri" w:hAnsi="Calibri" w:eastAsia="宋体" w:cs="Times New Roman"/>
                <w:sz w:val="21"/>
                <w:szCs w:val="21"/>
              </w:rPr>
            </w:pPr>
          </w:p>
        </w:tc>
        <w:tc>
          <w:tcPr>
            <w:tcW w:w="424" w:type="dxa"/>
            <w:vAlign w:val="center"/>
          </w:tcPr>
          <w:p>
            <w:pPr>
              <w:spacing w:line="240" w:lineRule="exact"/>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78"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特种作业人员持证率100%</w:t>
            </w:r>
          </w:p>
        </w:tc>
        <w:tc>
          <w:tcPr>
            <w:tcW w:w="689"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100%</w:t>
            </w: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tcPr>
          <w:p>
            <w:pPr>
              <w:spacing w:line="240" w:lineRule="exact"/>
              <w:jc w:val="center"/>
              <w:rPr>
                <w:rFonts w:ascii="Calibri" w:hAnsi="Calibri" w:eastAsia="宋体" w:cs="Times New Roman"/>
                <w:sz w:val="21"/>
                <w:szCs w:val="21"/>
              </w:rPr>
            </w:pPr>
          </w:p>
        </w:tc>
        <w:tc>
          <w:tcPr>
            <w:tcW w:w="320" w:type="dxa"/>
          </w:tcPr>
          <w:p>
            <w:pPr>
              <w:spacing w:line="240" w:lineRule="exact"/>
              <w:jc w:val="center"/>
              <w:rPr>
                <w:rFonts w:ascii="Calibri" w:hAnsi="Calibri" w:eastAsia="宋体" w:cs="Times New Roman"/>
                <w:sz w:val="21"/>
                <w:szCs w:val="21"/>
              </w:rPr>
            </w:pPr>
          </w:p>
        </w:tc>
        <w:tc>
          <w:tcPr>
            <w:tcW w:w="320" w:type="dxa"/>
          </w:tcPr>
          <w:p>
            <w:pPr>
              <w:spacing w:line="240" w:lineRule="exact"/>
              <w:jc w:val="center"/>
              <w:rPr>
                <w:rFonts w:ascii="Calibri" w:hAnsi="Calibri" w:eastAsia="宋体" w:cs="Times New Roman"/>
                <w:sz w:val="21"/>
                <w:szCs w:val="21"/>
              </w:rPr>
            </w:pPr>
          </w:p>
        </w:tc>
        <w:tc>
          <w:tcPr>
            <w:tcW w:w="424" w:type="dxa"/>
          </w:tcPr>
          <w:p>
            <w:pPr>
              <w:spacing w:line="240" w:lineRule="exact"/>
              <w:jc w:val="center"/>
              <w:rPr>
                <w:rFonts w:ascii="Calibri" w:hAnsi="Calibri" w:eastAsia="宋体" w:cs="Times New Roman"/>
                <w:sz w:val="21"/>
                <w:szCs w:val="21"/>
              </w:rPr>
            </w:pPr>
          </w:p>
        </w:tc>
        <w:tc>
          <w:tcPr>
            <w:tcW w:w="418" w:type="dxa"/>
          </w:tcPr>
          <w:p>
            <w:pPr>
              <w:spacing w:line="240" w:lineRule="exact"/>
              <w:jc w:val="center"/>
              <w:rPr>
                <w:rFonts w:ascii="Calibri" w:hAnsi="Calibri" w:eastAsia="宋体" w:cs="Times New Roman"/>
                <w:sz w:val="21"/>
                <w:szCs w:val="21"/>
              </w:rPr>
            </w:pPr>
          </w:p>
        </w:tc>
        <w:tc>
          <w:tcPr>
            <w:tcW w:w="424" w:type="dxa"/>
            <w:vAlign w:val="center"/>
          </w:tcPr>
          <w:p>
            <w:pPr>
              <w:spacing w:line="240" w:lineRule="exact"/>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278" w:type="dxa"/>
            <w:vAlign w:val="center"/>
          </w:tcPr>
          <w:p>
            <w:pPr>
              <w:spacing w:line="240" w:lineRule="exact"/>
              <w:jc w:val="center"/>
              <w:rPr>
                <w:rFonts w:ascii="Calibri" w:hAnsi="Calibri" w:eastAsia="宋体" w:cs="Times New Roman"/>
                <w:sz w:val="21"/>
                <w:szCs w:val="21"/>
              </w:rPr>
            </w:pPr>
            <w:r>
              <w:rPr>
                <w:rFonts w:ascii="Calibri" w:hAnsi="Calibri" w:eastAsia="宋体" w:cs="Times New Roman"/>
                <w:sz w:val="21"/>
                <w:szCs w:val="21"/>
              </w:rPr>
              <w:t>……</w:t>
            </w:r>
          </w:p>
        </w:tc>
        <w:tc>
          <w:tcPr>
            <w:tcW w:w="689"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320" w:type="dxa"/>
            <w:vAlign w:val="center"/>
          </w:tcPr>
          <w:p>
            <w:pPr>
              <w:spacing w:line="240" w:lineRule="exact"/>
              <w:jc w:val="center"/>
              <w:rPr>
                <w:rFonts w:ascii="Calibri" w:hAnsi="Calibri" w:eastAsia="宋体" w:cs="Times New Roman"/>
                <w:sz w:val="21"/>
                <w:szCs w:val="21"/>
              </w:rPr>
            </w:pPr>
          </w:p>
        </w:tc>
        <w:tc>
          <w:tcPr>
            <w:tcW w:w="424" w:type="dxa"/>
            <w:vAlign w:val="center"/>
          </w:tcPr>
          <w:p>
            <w:pPr>
              <w:spacing w:line="240" w:lineRule="exact"/>
              <w:jc w:val="center"/>
              <w:rPr>
                <w:rFonts w:ascii="Calibri" w:hAnsi="Calibri" w:eastAsia="宋体" w:cs="Times New Roman"/>
                <w:sz w:val="21"/>
                <w:szCs w:val="21"/>
              </w:rPr>
            </w:pPr>
          </w:p>
        </w:tc>
        <w:tc>
          <w:tcPr>
            <w:tcW w:w="418" w:type="dxa"/>
            <w:vAlign w:val="center"/>
          </w:tcPr>
          <w:p>
            <w:pPr>
              <w:spacing w:line="240" w:lineRule="exact"/>
              <w:jc w:val="center"/>
              <w:rPr>
                <w:rFonts w:ascii="Calibri" w:hAnsi="Calibri" w:eastAsia="宋体" w:cs="Times New Roman"/>
                <w:sz w:val="21"/>
                <w:szCs w:val="21"/>
              </w:rPr>
            </w:pPr>
          </w:p>
        </w:tc>
        <w:tc>
          <w:tcPr>
            <w:tcW w:w="424" w:type="dxa"/>
            <w:vAlign w:val="center"/>
          </w:tcPr>
          <w:p>
            <w:pPr>
              <w:spacing w:line="240" w:lineRule="exact"/>
              <w:jc w:val="center"/>
              <w:rPr>
                <w:rFonts w:ascii="Calibri" w:hAnsi="Calibri" w:eastAsia="宋体" w:cs="Times New Roman"/>
                <w:sz w:val="21"/>
                <w:szCs w:val="21"/>
              </w:rPr>
            </w:pPr>
          </w:p>
        </w:tc>
      </w:tr>
    </w:tbl>
    <w:p>
      <w:pPr>
        <w:spacing w:line="360" w:lineRule="auto"/>
        <w:ind w:firstLine="480" w:firstLineChars="200"/>
        <w:rPr>
          <w:rFonts w:eastAsia="宋体" w:cs="Times New Roman"/>
          <w:sz w:val="24"/>
          <w:szCs w:val="21"/>
        </w:rPr>
      </w:pPr>
    </w:p>
    <w:p>
      <w:pPr>
        <w:spacing w:line="360" w:lineRule="auto"/>
        <w:ind w:firstLine="480" w:firstLineChars="200"/>
      </w:pPr>
      <w:r>
        <w:rPr>
          <w:rFonts w:eastAsia="宋体" w:cs="Times New Roman"/>
          <w:sz w:val="24"/>
          <w:szCs w:val="21"/>
        </w:rPr>
        <w:t>（三）定期对安全生产目标的完成效果进行评估和考核，依据评估考核结果，及时调整安全生产目标和指标的实施计划。评估报告和实施计划的调整、修改记录应形成文件并加以保存。</w:t>
      </w:r>
    </w:p>
    <w:p>
      <w:pPr>
        <w:pStyle w:val="2"/>
        <w:jc w:val="center"/>
        <w:rPr>
          <w:b/>
          <w:bCs/>
          <w:sz w:val="21"/>
          <w:szCs w:val="18"/>
        </w:rPr>
      </w:pPr>
      <w:r>
        <w:rPr>
          <w:rFonts w:hint="eastAsia"/>
          <w:b/>
          <w:bCs/>
          <w:sz w:val="21"/>
          <w:szCs w:val="18"/>
        </w:rPr>
        <w:t>表1</w:t>
      </w:r>
      <w:r>
        <w:rPr>
          <w:b/>
          <w:bCs/>
          <w:sz w:val="21"/>
          <w:szCs w:val="18"/>
        </w:rPr>
        <w:t>.2</w:t>
      </w:r>
      <w:r>
        <w:rPr>
          <w:rFonts w:hint="eastAsia"/>
          <w:b/>
          <w:bCs/>
          <w:sz w:val="21"/>
          <w:szCs w:val="18"/>
        </w:rPr>
        <w:t>-3</w:t>
      </w:r>
      <w:r>
        <w:rPr>
          <w:b/>
          <w:bCs/>
          <w:sz w:val="21"/>
          <w:szCs w:val="18"/>
        </w:rPr>
        <w:t xml:space="preserve"> </w:t>
      </w:r>
      <w:r>
        <w:rPr>
          <w:rFonts w:hint="eastAsia"/>
          <w:b/>
          <w:bCs/>
          <w:sz w:val="21"/>
          <w:szCs w:val="18"/>
        </w:rPr>
        <w:t>安全生产目标考核表</w:t>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683"/>
        <w:gridCol w:w="325"/>
        <w:gridCol w:w="323"/>
        <w:gridCol w:w="323"/>
        <w:gridCol w:w="323"/>
        <w:gridCol w:w="323"/>
        <w:gridCol w:w="323"/>
        <w:gridCol w:w="323"/>
        <w:gridCol w:w="323"/>
        <w:gridCol w:w="323"/>
        <w:gridCol w:w="399"/>
        <w:gridCol w:w="399"/>
        <w:gridCol w:w="399"/>
        <w:gridCol w:w="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6113" w:type="dxa"/>
            <w:gridSpan w:val="15"/>
            <w:vAlign w:val="center"/>
          </w:tcPr>
          <w:p>
            <w:pPr>
              <w:jc w:val="left"/>
              <w:rPr>
                <w:rFonts w:ascii="Calibri" w:hAnsi="Calibri" w:eastAsia="宋体" w:cs="Times New Roman"/>
                <w:sz w:val="18"/>
                <w:szCs w:val="21"/>
              </w:rPr>
            </w:pPr>
            <w:r>
              <w:rPr>
                <w:rFonts w:hint="eastAsia" w:ascii="Calibri" w:hAnsi="Calibri" w:eastAsia="宋体" w:cs="Times New Roman"/>
                <w:sz w:val="18"/>
                <w:szCs w:val="21"/>
              </w:rPr>
              <w:t xml:space="preserve">部门： </w:t>
            </w:r>
            <w:r>
              <w:rPr>
                <w:rFonts w:ascii="Calibri" w:hAnsi="Calibri" w:eastAsia="宋体" w:cs="Times New Roman"/>
                <w:sz w:val="18"/>
                <w:szCs w:val="21"/>
              </w:rPr>
              <w:t xml:space="preserve">       </w:t>
            </w:r>
            <w:r>
              <w:rPr>
                <w:rFonts w:hint="eastAsia" w:ascii="Calibri" w:hAnsi="Calibri" w:eastAsia="宋体" w:cs="Times New Roman"/>
                <w:sz w:val="18"/>
                <w:szCs w:val="21"/>
              </w:rPr>
              <w:t xml:space="preserve">考评人员： </w:t>
            </w:r>
            <w:r>
              <w:rPr>
                <w:rFonts w:ascii="Calibri" w:hAnsi="Calibri" w:eastAsia="宋体" w:cs="Times New Roman"/>
                <w:sz w:val="18"/>
                <w:szCs w:val="21"/>
              </w:rPr>
              <w:t xml:space="preserve">       </w:t>
            </w:r>
            <w:r>
              <w:rPr>
                <w:rFonts w:hint="eastAsia" w:ascii="Calibri" w:hAnsi="Calibri" w:eastAsia="宋体" w:cs="Times New Roman"/>
                <w:sz w:val="18"/>
                <w:szCs w:val="21"/>
              </w:rPr>
              <w:t>考评日期：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目标</w:t>
            </w:r>
          </w:p>
        </w:tc>
        <w:tc>
          <w:tcPr>
            <w:tcW w:w="68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指标</w:t>
            </w:r>
          </w:p>
        </w:tc>
        <w:tc>
          <w:tcPr>
            <w:tcW w:w="4064" w:type="dxa"/>
            <w:gridSpan w:val="12"/>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各月实际业绩</w:t>
            </w:r>
          </w:p>
        </w:tc>
        <w:tc>
          <w:tcPr>
            <w:tcW w:w="485"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重伤、死亡事故</w:t>
            </w:r>
          </w:p>
        </w:tc>
        <w:tc>
          <w:tcPr>
            <w:tcW w:w="68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0</w:t>
            </w:r>
          </w:p>
        </w:tc>
        <w:tc>
          <w:tcPr>
            <w:tcW w:w="325"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1</w:t>
            </w:r>
          </w:p>
        </w:tc>
        <w:tc>
          <w:tcPr>
            <w:tcW w:w="32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2</w:t>
            </w:r>
          </w:p>
        </w:tc>
        <w:tc>
          <w:tcPr>
            <w:tcW w:w="32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3</w:t>
            </w:r>
          </w:p>
        </w:tc>
        <w:tc>
          <w:tcPr>
            <w:tcW w:w="32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4</w:t>
            </w:r>
          </w:p>
        </w:tc>
        <w:tc>
          <w:tcPr>
            <w:tcW w:w="32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5</w:t>
            </w:r>
          </w:p>
        </w:tc>
        <w:tc>
          <w:tcPr>
            <w:tcW w:w="32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6</w:t>
            </w:r>
          </w:p>
        </w:tc>
        <w:tc>
          <w:tcPr>
            <w:tcW w:w="32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7</w:t>
            </w:r>
          </w:p>
        </w:tc>
        <w:tc>
          <w:tcPr>
            <w:tcW w:w="32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8</w:t>
            </w:r>
          </w:p>
        </w:tc>
        <w:tc>
          <w:tcPr>
            <w:tcW w:w="32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9</w:t>
            </w:r>
          </w:p>
        </w:tc>
        <w:tc>
          <w:tcPr>
            <w:tcW w:w="385"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1</w:t>
            </w:r>
            <w:r>
              <w:rPr>
                <w:rFonts w:ascii="Calibri" w:hAnsi="Calibri" w:eastAsia="宋体" w:cs="Times New Roman"/>
                <w:sz w:val="18"/>
                <w:szCs w:val="21"/>
              </w:rPr>
              <w:t>0</w:t>
            </w:r>
          </w:p>
        </w:tc>
        <w:tc>
          <w:tcPr>
            <w:tcW w:w="385"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1</w:t>
            </w:r>
            <w:r>
              <w:rPr>
                <w:rFonts w:ascii="Calibri" w:hAnsi="Calibri" w:eastAsia="宋体" w:cs="Times New Roman"/>
                <w:sz w:val="18"/>
                <w:szCs w:val="21"/>
              </w:rPr>
              <w:t>1</w:t>
            </w:r>
          </w:p>
        </w:tc>
        <w:tc>
          <w:tcPr>
            <w:tcW w:w="385"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1</w:t>
            </w:r>
            <w:r>
              <w:rPr>
                <w:rFonts w:ascii="Calibri" w:hAnsi="Calibri" w:eastAsia="宋体" w:cs="Times New Roman"/>
                <w:sz w:val="18"/>
                <w:szCs w:val="21"/>
              </w:rPr>
              <w:t>2</w:t>
            </w: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轻伤事故</w:t>
            </w:r>
          </w:p>
        </w:tc>
        <w:tc>
          <w:tcPr>
            <w:tcW w:w="683" w:type="dxa"/>
            <w:vAlign w:val="center"/>
          </w:tcPr>
          <w:p>
            <w:pPr>
              <w:jc w:val="center"/>
              <w:rPr>
                <w:rFonts w:ascii="Calibri" w:hAnsi="Calibri" w:eastAsia="宋体" w:cs="Times New Roman"/>
                <w:sz w:val="18"/>
                <w:szCs w:val="21"/>
              </w:rPr>
            </w:pPr>
            <w:r>
              <w:rPr>
                <w:rFonts w:ascii="Calibri" w:hAnsi="Calibri" w:eastAsia="宋体" w:cs="Times New Roman"/>
                <w:sz w:val="18"/>
                <w:szCs w:val="21"/>
              </w:rPr>
              <w:t>0</w:t>
            </w:r>
          </w:p>
        </w:tc>
        <w:tc>
          <w:tcPr>
            <w:tcW w:w="325"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火灾、事故</w:t>
            </w:r>
          </w:p>
        </w:tc>
        <w:tc>
          <w:tcPr>
            <w:tcW w:w="68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0</w:t>
            </w:r>
          </w:p>
        </w:tc>
        <w:tc>
          <w:tcPr>
            <w:tcW w:w="325"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隐患整改率</w:t>
            </w:r>
          </w:p>
        </w:tc>
        <w:tc>
          <w:tcPr>
            <w:tcW w:w="68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≥9</w:t>
            </w:r>
            <w:r>
              <w:rPr>
                <w:rFonts w:ascii="Calibri" w:hAnsi="Calibri" w:eastAsia="宋体" w:cs="Times New Roman"/>
                <w:sz w:val="18"/>
                <w:szCs w:val="21"/>
              </w:rPr>
              <w:t>5</w:t>
            </w:r>
            <w:r>
              <w:rPr>
                <w:rFonts w:hint="eastAsia" w:ascii="Calibri" w:hAnsi="Calibri" w:eastAsia="宋体" w:cs="Times New Roman"/>
                <w:sz w:val="18"/>
                <w:szCs w:val="21"/>
              </w:rPr>
              <w:t>%</w:t>
            </w:r>
          </w:p>
        </w:tc>
        <w:tc>
          <w:tcPr>
            <w:tcW w:w="325"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重大隐患</w:t>
            </w:r>
          </w:p>
        </w:tc>
        <w:tc>
          <w:tcPr>
            <w:tcW w:w="68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0</w:t>
            </w:r>
          </w:p>
        </w:tc>
        <w:tc>
          <w:tcPr>
            <w:tcW w:w="325"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安全检查</w:t>
            </w:r>
          </w:p>
        </w:tc>
        <w:tc>
          <w:tcPr>
            <w:tcW w:w="683" w:type="dxa"/>
            <w:vAlign w:val="center"/>
          </w:tcPr>
          <w:p>
            <w:pPr>
              <w:jc w:val="center"/>
              <w:rPr>
                <w:rFonts w:ascii="Calibri" w:hAnsi="Calibri" w:eastAsia="宋体" w:cs="Times New Roman"/>
                <w:sz w:val="18"/>
                <w:szCs w:val="21"/>
              </w:rPr>
            </w:pPr>
            <w:r>
              <w:rPr>
                <w:rFonts w:ascii="Calibri" w:hAnsi="Calibri" w:eastAsia="宋体" w:cs="Times New Roman"/>
                <w:sz w:val="18"/>
                <w:szCs w:val="21"/>
              </w:rPr>
              <w:t>1</w:t>
            </w:r>
            <w:r>
              <w:rPr>
                <w:rFonts w:hint="eastAsia" w:ascii="Calibri" w:hAnsi="Calibri" w:eastAsia="宋体" w:cs="Times New Roman"/>
                <w:sz w:val="18"/>
                <w:szCs w:val="21"/>
              </w:rPr>
              <w:t>次/季度</w:t>
            </w:r>
          </w:p>
        </w:tc>
        <w:tc>
          <w:tcPr>
            <w:tcW w:w="325"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安委会会议</w:t>
            </w:r>
          </w:p>
        </w:tc>
        <w:tc>
          <w:tcPr>
            <w:tcW w:w="68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1次/月</w:t>
            </w:r>
          </w:p>
        </w:tc>
        <w:tc>
          <w:tcPr>
            <w:tcW w:w="325"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安全培训</w:t>
            </w:r>
          </w:p>
        </w:tc>
        <w:tc>
          <w:tcPr>
            <w:tcW w:w="68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1</w:t>
            </w:r>
            <w:r>
              <w:rPr>
                <w:rFonts w:ascii="Calibri" w:hAnsi="Calibri" w:eastAsia="宋体" w:cs="Times New Roman"/>
                <w:sz w:val="18"/>
                <w:szCs w:val="21"/>
              </w:rPr>
              <w:t>00</w:t>
            </w:r>
            <w:r>
              <w:rPr>
                <w:rFonts w:hint="eastAsia" w:ascii="Calibri" w:hAnsi="Calibri" w:eastAsia="宋体" w:cs="Times New Roman"/>
                <w:sz w:val="18"/>
                <w:szCs w:val="21"/>
              </w:rPr>
              <w:t>%</w:t>
            </w:r>
          </w:p>
        </w:tc>
        <w:tc>
          <w:tcPr>
            <w:tcW w:w="325"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责任书签订</w:t>
            </w:r>
          </w:p>
        </w:tc>
        <w:tc>
          <w:tcPr>
            <w:tcW w:w="68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1</w:t>
            </w:r>
            <w:r>
              <w:rPr>
                <w:rFonts w:ascii="Calibri" w:hAnsi="Calibri" w:eastAsia="宋体" w:cs="Times New Roman"/>
                <w:sz w:val="18"/>
                <w:szCs w:val="21"/>
              </w:rPr>
              <w:t>00</w:t>
            </w:r>
            <w:r>
              <w:rPr>
                <w:rFonts w:hint="eastAsia" w:ascii="Calibri" w:hAnsi="Calibri" w:eastAsia="宋体" w:cs="Times New Roman"/>
                <w:sz w:val="18"/>
                <w:szCs w:val="21"/>
              </w:rPr>
              <w:t>%</w:t>
            </w:r>
          </w:p>
        </w:tc>
        <w:tc>
          <w:tcPr>
            <w:tcW w:w="325"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安全风险辨识</w:t>
            </w:r>
          </w:p>
        </w:tc>
        <w:tc>
          <w:tcPr>
            <w:tcW w:w="683"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1</w:t>
            </w:r>
            <w:r>
              <w:rPr>
                <w:rFonts w:ascii="Calibri" w:hAnsi="Calibri" w:eastAsia="宋体" w:cs="Times New Roman"/>
                <w:sz w:val="18"/>
                <w:szCs w:val="21"/>
              </w:rPr>
              <w:t>00</w:t>
            </w:r>
            <w:r>
              <w:rPr>
                <w:rFonts w:hint="eastAsia" w:ascii="Calibri" w:hAnsi="Calibri" w:eastAsia="宋体" w:cs="Times New Roman"/>
                <w:sz w:val="18"/>
                <w:szCs w:val="21"/>
              </w:rPr>
              <w:t>%</w:t>
            </w:r>
          </w:p>
        </w:tc>
        <w:tc>
          <w:tcPr>
            <w:tcW w:w="325"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23"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385" w:type="dxa"/>
            <w:vAlign w:val="center"/>
          </w:tcPr>
          <w:p>
            <w:pPr>
              <w:jc w:val="center"/>
              <w:rPr>
                <w:rFonts w:ascii="Calibri" w:hAnsi="Calibri" w:eastAsia="宋体" w:cs="Times New Roman"/>
                <w:sz w:val="18"/>
                <w:szCs w:val="21"/>
              </w:rPr>
            </w:pPr>
          </w:p>
        </w:tc>
        <w:tc>
          <w:tcPr>
            <w:tcW w:w="485" w:type="dxa"/>
            <w:vAlign w:val="center"/>
          </w:tcPr>
          <w:p>
            <w:pPr>
              <w:jc w:val="center"/>
              <w:rPr>
                <w:rFonts w:ascii="Calibri" w:hAnsi="Calibri" w:eastAsia="宋体" w:cs="Times New Roman"/>
                <w:sz w:val="18"/>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881" w:type="dxa"/>
            <w:vAlign w:val="center"/>
          </w:tcPr>
          <w:p>
            <w:pPr>
              <w:jc w:val="center"/>
              <w:rPr>
                <w:rFonts w:ascii="Calibri" w:hAnsi="Calibri" w:eastAsia="宋体" w:cs="Times New Roman"/>
                <w:sz w:val="18"/>
                <w:szCs w:val="21"/>
              </w:rPr>
            </w:pPr>
            <w:r>
              <w:rPr>
                <w:rFonts w:hint="eastAsia" w:ascii="Calibri" w:hAnsi="Calibri" w:eastAsia="宋体" w:cs="Times New Roman"/>
                <w:sz w:val="18"/>
                <w:szCs w:val="21"/>
              </w:rPr>
              <w:t>年度总体评价</w:t>
            </w:r>
          </w:p>
        </w:tc>
        <w:tc>
          <w:tcPr>
            <w:tcW w:w="5232" w:type="dxa"/>
            <w:gridSpan w:val="14"/>
            <w:vAlign w:val="center"/>
          </w:tcPr>
          <w:p>
            <w:pPr>
              <w:jc w:val="center"/>
              <w:rPr>
                <w:rFonts w:ascii="Calibri" w:hAnsi="Calibri" w:eastAsia="宋体" w:cs="Times New Roman"/>
                <w:sz w:val="18"/>
                <w:szCs w:val="21"/>
              </w:rPr>
            </w:pPr>
          </w:p>
        </w:tc>
      </w:tr>
    </w:tbl>
    <w:p>
      <w:pPr>
        <w:pStyle w:val="2"/>
        <w:jc w:val="center"/>
      </w:pPr>
    </w:p>
    <w:p>
      <w:pPr>
        <w:widowControl/>
        <w:jc w:val="left"/>
        <w:rPr>
          <w:rFonts w:eastAsia="黑体" w:cs="Times New Roman"/>
          <w:b/>
          <w:bCs/>
          <w:kern w:val="44"/>
          <w:sz w:val="28"/>
          <w:szCs w:val="44"/>
        </w:rPr>
      </w:pPr>
    </w:p>
    <w:p>
      <w:pPr>
        <w:adjustRightInd w:val="0"/>
        <w:snapToGrid w:val="0"/>
        <w:spacing w:line="360" w:lineRule="auto"/>
        <w:contextualSpacing/>
        <w:jc w:val="center"/>
        <w:outlineLvl w:val="0"/>
        <w:rPr>
          <w:rFonts w:eastAsia="黑体" w:cs="Times New Roman"/>
          <w:sz w:val="28"/>
          <w:szCs w:val="28"/>
        </w:rPr>
      </w:pPr>
      <w:bookmarkStart w:id="1" w:name="_Toc93400220"/>
      <w:bookmarkStart w:id="2" w:name="_Toc92370382"/>
      <w:bookmarkStart w:id="3" w:name="_Toc27551"/>
      <w:r>
        <w:rPr>
          <w:rFonts w:eastAsia="黑体" w:cs="Times New Roman"/>
          <w:sz w:val="28"/>
          <w:szCs w:val="28"/>
        </w:rPr>
        <w:t>第二章 组织机构和职责</w:t>
      </w:r>
      <w:bookmarkEnd w:id="1"/>
      <w:bookmarkEnd w:id="2"/>
      <w:bookmarkEnd w:id="3"/>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一、组织机构</w:t>
      </w:r>
    </w:p>
    <w:p>
      <w:pPr>
        <w:spacing w:line="360" w:lineRule="auto"/>
        <w:ind w:firstLine="480" w:firstLineChars="200"/>
        <w:rPr>
          <w:rFonts w:eastAsia="宋体" w:cs="Times New Roman"/>
          <w:sz w:val="24"/>
          <w:szCs w:val="21"/>
        </w:rPr>
      </w:pPr>
      <w:r>
        <w:rPr>
          <w:rFonts w:eastAsia="宋体" w:cs="Times New Roman"/>
          <w:sz w:val="24"/>
          <w:szCs w:val="21"/>
        </w:rPr>
        <w:t>（一）企业应按规定设置安全生产管理机构，配备安全生产管理人员；</w:t>
      </w:r>
    </w:p>
    <w:p>
      <w:pPr>
        <w:spacing w:line="360" w:lineRule="auto"/>
        <w:ind w:firstLine="480" w:firstLineChars="200"/>
        <w:rPr>
          <w:rFonts w:eastAsia="宋体" w:cs="Times New Roman"/>
          <w:sz w:val="24"/>
          <w:szCs w:val="21"/>
        </w:rPr>
      </w:pPr>
      <w:r>
        <w:rPr>
          <w:rFonts w:eastAsia="宋体" w:cs="Times New Roman"/>
          <w:sz w:val="24"/>
          <w:szCs w:val="21"/>
        </w:rPr>
        <w:t>1.建立设置安全管理机构、配备安全管理人员的管理制度。</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eastAsia="宋体" w:cs="Times New Roman"/>
          <w:sz w:val="24"/>
          <w:szCs w:val="21"/>
        </w:rPr>
        <w:t>企业应结合实际，建立《设置安全管理机构、配备安全管理人员管理制度》，制度文件需经初评、评审、主要负责人批准、发布、人员培训和归档，形成有效的制度文件。</w:t>
      </w:r>
    </w:p>
    <w:p>
      <w:pPr>
        <w:spacing w:line="360" w:lineRule="auto"/>
        <w:ind w:firstLine="480" w:firstLineChars="200"/>
        <w:rPr>
          <w:rFonts w:eastAsia="宋体" w:cs="Times New Roman"/>
          <w:sz w:val="24"/>
          <w:szCs w:val="21"/>
        </w:rPr>
      </w:pPr>
      <w:r>
        <w:rPr>
          <w:rFonts w:eastAsia="宋体" w:cs="Times New Roman"/>
          <w:sz w:val="24"/>
          <w:szCs w:val="21"/>
        </w:rPr>
        <w:t>2.按照相关规定设置安全管理机构或配备安全管理人员。</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hint="eastAsia" w:eastAsia="宋体" w:cs="Times New Roman"/>
          <w:sz w:val="24"/>
          <w:szCs w:val="21"/>
        </w:rPr>
        <w:t>中华人民共和国《安全生产法》第二十四条：</w:t>
      </w:r>
      <w:r>
        <w:rPr>
          <w:rFonts w:eastAsia="宋体" w:cs="Times New Roman"/>
          <w:sz w:val="24"/>
          <w:szCs w:val="21"/>
        </w:rPr>
        <w:t>矿山、金属冶炼、建筑施工、运输单位和危险物品的生产、经营、储存、装卸单位，应当设置安全生产管理机构或者配备专职安全生产管理人员。</w:t>
      </w:r>
    </w:p>
    <w:p>
      <w:pPr>
        <w:spacing w:line="360" w:lineRule="auto"/>
        <w:ind w:firstLine="480" w:firstLineChars="200"/>
        <w:rPr>
          <w:rFonts w:eastAsia="宋体" w:cs="Times New Roman"/>
          <w:sz w:val="24"/>
          <w:szCs w:val="21"/>
        </w:rPr>
      </w:pPr>
      <w:r>
        <w:rPr>
          <w:rFonts w:eastAsia="宋体" w:cs="Times New Roman"/>
          <w:sz w:val="24"/>
          <w:szCs w:val="21"/>
        </w:rPr>
        <w:t>前款规定以外的其他生产经营单位，从业人员超过一百人的，应当设置安全生产管理机构或者配备专职安全生产管理人员；从业人员在一百人以下的，应当配备专职或者兼职的安全生产管理人员。</w:t>
      </w:r>
    </w:p>
    <w:p>
      <w:pPr>
        <w:widowControl/>
        <w:shd w:val="clear" w:color="auto" w:fill="FFFFFF"/>
        <w:spacing w:line="360" w:lineRule="auto"/>
        <w:ind w:firstLine="480"/>
        <w:jc w:val="left"/>
        <w:rPr>
          <w:rFonts w:eastAsia="宋体" w:cs="Times New Roman"/>
          <w:sz w:val="24"/>
          <w:szCs w:val="21"/>
        </w:rPr>
      </w:pPr>
      <w:r>
        <w:rPr>
          <w:rFonts w:hint="eastAsia" w:eastAsia="宋体" w:cs="Times New Roman"/>
          <w:sz w:val="24"/>
          <w:szCs w:val="21"/>
        </w:rPr>
        <w:t>中华人民共和国《安全生产法》第二十七条：</w:t>
      </w:r>
      <w:r>
        <w:rPr>
          <w:rFonts w:eastAsia="宋体" w:cs="Times New Roman"/>
          <w:sz w:val="24"/>
          <w:szCs w:val="21"/>
        </w:rPr>
        <w:t>第二十七条　生产经营单位的主要负责人和安全生产管理人员必须具备与本单位所从事的生产经营活动相应的安全生产知识和管理能力。</w:t>
      </w:r>
    </w:p>
    <w:p>
      <w:pPr>
        <w:widowControl/>
        <w:shd w:val="clear" w:color="auto" w:fill="FFFFFF"/>
        <w:spacing w:line="360" w:lineRule="auto"/>
        <w:ind w:firstLine="480"/>
        <w:jc w:val="left"/>
        <w:rPr>
          <w:rFonts w:eastAsia="宋体" w:cs="Times New Roman"/>
          <w:sz w:val="24"/>
          <w:szCs w:val="21"/>
        </w:rPr>
      </w:pPr>
      <w:r>
        <w:rPr>
          <w:rFonts w:eastAsia="宋体" w:cs="Times New Roman"/>
          <w:sz w:val="24"/>
          <w:szCs w:val="21"/>
        </w:rPr>
        <w:t>危险物品的生产、经营、储存、装卸单位以及矿山、金属冶炼、建筑施工、运输单位的主要负责人和安全生产管理人员，应当由主管的负有安全生产监督管理职责的部门对其安全生产知识和管理能力考核合格。考核不得收费。</w:t>
      </w:r>
    </w:p>
    <w:p>
      <w:pPr>
        <w:spacing w:line="360" w:lineRule="auto"/>
        <w:ind w:firstLine="480" w:firstLineChars="200"/>
        <w:rPr>
          <w:rFonts w:eastAsia="宋体" w:cs="Times New Roman"/>
          <w:sz w:val="24"/>
          <w:szCs w:val="21"/>
        </w:rPr>
      </w:pPr>
      <w:r>
        <w:rPr>
          <w:rFonts w:eastAsia="宋体" w:cs="Times New Roman"/>
          <w:sz w:val="24"/>
          <w:szCs w:val="21"/>
        </w:rPr>
        <w:t>危险物品的生产、储存、装卸单位以及矿山、金属冶炼单位应当有注册安全工程师从事安全生产管理工作。鼓励其他生产经营单位聘用注册安全工程师从事安全生产管理工作。</w:t>
      </w:r>
    </w:p>
    <w:p>
      <w:pPr>
        <w:spacing w:line="360" w:lineRule="auto"/>
        <w:ind w:firstLine="480" w:firstLineChars="200"/>
        <w:rPr>
          <w:rFonts w:eastAsia="宋体" w:cs="Times New Roman"/>
          <w:sz w:val="24"/>
          <w:szCs w:val="21"/>
        </w:rPr>
      </w:pPr>
      <w:r>
        <w:rPr>
          <w:rFonts w:eastAsia="宋体" w:cs="Times New Roman"/>
          <w:sz w:val="24"/>
          <w:szCs w:val="21"/>
        </w:rPr>
        <w:t>安全管理机构、安全管理人员任命需以文件形式进行设置或任命。</w:t>
      </w:r>
    </w:p>
    <w:p>
      <w:pPr>
        <w:spacing w:line="360" w:lineRule="auto"/>
        <w:jc w:val="center"/>
        <w:rPr>
          <w:rFonts w:eastAsia="宋体" w:cs="Times New Roman"/>
          <w:sz w:val="24"/>
          <w:szCs w:val="21"/>
        </w:rPr>
      </w:pPr>
      <w:r>
        <w:rPr>
          <w:rFonts w:eastAsia="宋体" w:cs="Times New Roman"/>
          <w:sz w:val="24"/>
          <w:szCs w:val="21"/>
        </w:rPr>
        <w:drawing>
          <wp:inline distT="0" distB="0" distL="0" distR="0">
            <wp:extent cx="3669665" cy="2733675"/>
            <wp:effectExtent l="9525" t="9525" r="16510" b="19050"/>
            <wp:docPr id="28689" name="图片 2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9" name="图片 28689"/>
                    <pic:cNvPicPr>
                      <a:picLocks noChangeAspect="1"/>
                    </pic:cNvPicPr>
                  </pic:nvPicPr>
                  <pic:blipFill>
                    <a:blip r:embed="rId15"/>
                    <a:stretch>
                      <a:fillRect/>
                    </a:stretch>
                  </pic:blipFill>
                  <pic:spPr>
                    <a:xfrm>
                      <a:off x="0" y="0"/>
                      <a:ext cx="3669665" cy="2733675"/>
                    </a:xfrm>
                    <a:prstGeom prst="rect">
                      <a:avLst/>
                    </a:prstGeom>
                    <a:ln>
                      <a:solidFill>
                        <a:sysClr val="windowText" lastClr="000000">
                          <a:lumMod val="75000"/>
                          <a:lumOff val="25000"/>
                        </a:sysClr>
                      </a:solidFill>
                    </a:ln>
                  </pic:spPr>
                </pic:pic>
              </a:graphicData>
            </a:graphic>
          </wp:inline>
        </w:drawing>
      </w:r>
    </w:p>
    <w:p>
      <w:pPr>
        <w:pStyle w:val="2"/>
        <w:jc w:val="center"/>
        <w:rPr>
          <w:rFonts w:ascii="宋体" w:hAnsi="宋体"/>
          <w:sz w:val="21"/>
        </w:rPr>
      </w:pPr>
      <w:r>
        <w:rPr>
          <w:rFonts w:hint="eastAsia" w:ascii="宋体" w:hAnsi="宋体"/>
          <w:sz w:val="21"/>
        </w:rPr>
        <w:t>图</w:t>
      </w:r>
      <w:r>
        <w:rPr>
          <w:rFonts w:ascii="宋体" w:hAnsi="宋体"/>
          <w:sz w:val="21"/>
        </w:rPr>
        <w:t xml:space="preserve">2.1-1-2 </w:t>
      </w:r>
      <w:r>
        <w:rPr>
          <w:rFonts w:hint="eastAsia" w:ascii="宋体" w:hAnsi="宋体"/>
          <w:sz w:val="21"/>
        </w:rPr>
        <w:t>安全管理机构、安全管理人员任命文件</w:t>
      </w:r>
    </w:p>
    <w:p>
      <w:pPr>
        <w:spacing w:line="360" w:lineRule="auto"/>
        <w:ind w:firstLine="480" w:firstLineChars="200"/>
        <w:rPr>
          <w:rFonts w:eastAsia="宋体" w:cs="Times New Roman"/>
          <w:sz w:val="24"/>
          <w:szCs w:val="21"/>
        </w:rPr>
      </w:pPr>
      <w:r>
        <w:rPr>
          <w:rFonts w:eastAsia="宋体" w:cs="Times New Roman"/>
          <w:sz w:val="24"/>
          <w:szCs w:val="21"/>
        </w:rPr>
        <w:t>3.对企业安全管理组织结构框架实行可视化管理。</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eastAsia="宋体" w:cs="Times New Roman"/>
          <w:sz w:val="24"/>
          <w:szCs w:val="21"/>
        </w:rPr>
        <w:t>企业安全管理组织机构可设置在厂区宣传栏、车间安全看板等显著位置。</w:t>
      </w:r>
    </w:p>
    <w:p>
      <w:pPr>
        <w:spacing w:line="360" w:lineRule="auto"/>
        <w:jc w:val="center"/>
        <w:rPr>
          <w:rFonts w:eastAsia="宋体" w:cs="Times New Roman"/>
          <w:sz w:val="24"/>
          <w:szCs w:val="21"/>
        </w:rPr>
      </w:pPr>
      <w:r>
        <w:rPr>
          <w:rFonts w:eastAsia="宋体" w:cs="Times New Roman"/>
          <w:sz w:val="24"/>
          <w:szCs w:val="21"/>
        </w:rPr>
        <w:drawing>
          <wp:inline distT="0" distB="0" distL="0" distR="0">
            <wp:extent cx="3611245" cy="1806575"/>
            <wp:effectExtent l="0" t="0" r="8255"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22556" cy="1812757"/>
                    </a:xfrm>
                    <a:prstGeom prst="rect">
                      <a:avLst/>
                    </a:prstGeom>
                  </pic:spPr>
                </pic:pic>
              </a:graphicData>
            </a:graphic>
          </wp:inline>
        </w:drawing>
      </w:r>
    </w:p>
    <w:p>
      <w:pPr>
        <w:pStyle w:val="2"/>
        <w:jc w:val="center"/>
        <w:rPr>
          <w:rFonts w:ascii="宋体" w:hAnsi="宋体"/>
          <w:sz w:val="21"/>
        </w:rPr>
      </w:pPr>
      <w:r>
        <w:rPr>
          <w:rFonts w:hint="eastAsia" w:ascii="宋体" w:hAnsi="宋体"/>
          <w:sz w:val="21"/>
        </w:rPr>
        <w:t>图</w:t>
      </w:r>
      <w:r>
        <w:rPr>
          <w:rFonts w:ascii="宋体" w:hAnsi="宋体"/>
          <w:sz w:val="21"/>
        </w:rPr>
        <w:t>2.1-1-3</w:t>
      </w:r>
      <w:r>
        <w:rPr>
          <w:rFonts w:hint="eastAsia" w:ascii="宋体" w:hAnsi="宋体"/>
          <w:sz w:val="21"/>
        </w:rPr>
        <w:t xml:space="preserve"> 安全看板示例</w:t>
      </w:r>
    </w:p>
    <w:p>
      <w:pPr>
        <w:spacing w:line="360" w:lineRule="auto"/>
        <w:ind w:firstLine="480" w:firstLineChars="200"/>
        <w:rPr>
          <w:rFonts w:eastAsia="宋体" w:cs="Times New Roman"/>
          <w:sz w:val="24"/>
          <w:szCs w:val="21"/>
        </w:rPr>
      </w:pPr>
      <w:r>
        <w:rPr>
          <w:rFonts w:eastAsia="宋体" w:cs="Times New Roman"/>
          <w:sz w:val="24"/>
          <w:szCs w:val="21"/>
        </w:rPr>
        <w:t>4.根据有关规定和企业实际，设立安全生产委员会或安全生产领导机构。</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eastAsia="宋体" w:cs="Times New Roman"/>
          <w:sz w:val="24"/>
          <w:szCs w:val="21"/>
        </w:rPr>
        <w:t>安全生产委员会或安全生产领导机构应以文件形式任命。成员应该包括主要负责人、部门负责人等相关人员。</w:t>
      </w:r>
    </w:p>
    <w:p>
      <w:pPr>
        <w:spacing w:line="360" w:lineRule="auto"/>
        <w:jc w:val="center"/>
        <w:rPr>
          <w:rFonts w:eastAsia="宋体" w:cs="Times New Roman"/>
          <w:sz w:val="24"/>
          <w:szCs w:val="21"/>
        </w:rPr>
      </w:pPr>
      <w:r>
        <w:rPr>
          <w:rFonts w:eastAsia="宋体" w:cs="Times New Roman"/>
          <w:sz w:val="24"/>
          <w:szCs w:val="21"/>
        </w:rPr>
        <w:drawing>
          <wp:inline distT="0" distB="0" distL="0" distR="0">
            <wp:extent cx="3048000" cy="3218180"/>
            <wp:effectExtent l="9525" t="9525" r="9525" b="10795"/>
            <wp:docPr id="28695" name="图片 2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5" name="图片 28695"/>
                    <pic:cNvPicPr>
                      <a:picLocks noChangeAspect="1"/>
                    </pic:cNvPicPr>
                  </pic:nvPicPr>
                  <pic:blipFill>
                    <a:blip r:embed="rId17"/>
                    <a:stretch>
                      <a:fillRect/>
                    </a:stretch>
                  </pic:blipFill>
                  <pic:spPr>
                    <a:xfrm>
                      <a:off x="0" y="0"/>
                      <a:ext cx="3048000" cy="3218180"/>
                    </a:xfrm>
                    <a:prstGeom prst="rect">
                      <a:avLst/>
                    </a:prstGeom>
                    <a:ln>
                      <a:solidFill>
                        <a:sysClr val="windowText" lastClr="000000">
                          <a:lumMod val="75000"/>
                          <a:lumOff val="25000"/>
                        </a:sysClr>
                      </a:solidFill>
                    </a:ln>
                  </pic:spPr>
                </pic:pic>
              </a:graphicData>
            </a:graphic>
          </wp:inline>
        </w:drawing>
      </w:r>
    </w:p>
    <w:p>
      <w:pPr>
        <w:pStyle w:val="2"/>
        <w:jc w:val="center"/>
        <w:rPr>
          <w:rFonts w:ascii="宋体" w:hAnsi="宋体"/>
          <w:sz w:val="21"/>
        </w:rPr>
      </w:pPr>
      <w:r>
        <w:rPr>
          <w:rFonts w:hint="eastAsia" w:ascii="宋体" w:hAnsi="宋体"/>
          <w:sz w:val="21"/>
        </w:rPr>
        <w:t>图</w:t>
      </w:r>
      <w:r>
        <w:rPr>
          <w:rFonts w:ascii="宋体" w:hAnsi="宋体"/>
          <w:sz w:val="21"/>
        </w:rPr>
        <w:t>2.1-1-4</w:t>
      </w:r>
      <w:r>
        <w:rPr>
          <w:rFonts w:hint="eastAsia" w:ascii="宋体" w:hAnsi="宋体"/>
          <w:sz w:val="21"/>
        </w:rPr>
        <w:t xml:space="preserve"> 安全生产委员会任命文件示例</w:t>
      </w:r>
    </w:p>
    <w:p>
      <w:pPr>
        <w:spacing w:line="360" w:lineRule="auto"/>
        <w:ind w:firstLine="480" w:firstLineChars="200"/>
        <w:rPr>
          <w:rFonts w:eastAsia="宋体" w:cs="Times New Roman"/>
          <w:sz w:val="24"/>
          <w:szCs w:val="21"/>
        </w:rPr>
      </w:pPr>
      <w:r>
        <w:rPr>
          <w:rFonts w:eastAsia="宋体" w:cs="Times New Roman"/>
          <w:sz w:val="24"/>
          <w:szCs w:val="21"/>
        </w:rPr>
        <w:t>5.安委会或安全生产领导机构每季度应至少召开一次安全专题会，协调解决安全生产问题。会议纪要中应有工作要求并保存。</w:t>
      </w:r>
    </w:p>
    <w:p>
      <w:pPr>
        <w:spacing w:line="360" w:lineRule="auto"/>
        <w:ind w:firstLine="482" w:firstLineChars="200"/>
        <w:rPr>
          <w:rFonts w:ascii="宋体" w:hAnsi="宋体"/>
          <w:sz w:val="21"/>
        </w:rPr>
      </w:pPr>
      <w:r>
        <w:rPr>
          <w:rFonts w:hint="eastAsia" w:eastAsia="宋体" w:cs="Times New Roman"/>
          <w:b/>
          <w:sz w:val="24"/>
          <w:szCs w:val="21"/>
        </w:rPr>
        <w:t>释义</w:t>
      </w:r>
      <w:r>
        <w:rPr>
          <w:rFonts w:eastAsia="宋体" w:cs="Times New Roman"/>
          <w:b/>
          <w:sz w:val="24"/>
          <w:szCs w:val="21"/>
        </w:rPr>
        <w:t>：</w:t>
      </w:r>
      <w:r>
        <w:rPr>
          <w:rFonts w:eastAsia="宋体" w:cs="Times New Roman"/>
          <w:sz w:val="24"/>
          <w:szCs w:val="21"/>
        </w:rPr>
        <w:t>安委会或安全生产领导机构每至少每季度开一次安全专题会议，安委会或安全领导小组全体成员参加，对安全生产问题提出决策并落实，会议内容要形成会议纪要并下发相关部门。并对会议中的决策情况进行跟踪。并在下一次安委会会议中要体现出问题解决的落实情况。</w:t>
      </w:r>
    </w:p>
    <w:p>
      <w:pPr>
        <w:spacing w:after="120"/>
        <w:jc w:val="center"/>
        <w:rPr>
          <w:rFonts w:ascii="宋体" w:hAnsi="宋体" w:eastAsia="宋体" w:cs="宋体"/>
          <w:b/>
          <w:bCs/>
          <w:sz w:val="21"/>
          <w:szCs w:val="20"/>
        </w:rPr>
      </w:pPr>
      <w:r>
        <w:rPr>
          <w:rFonts w:hint="eastAsia" w:ascii="宋体" w:hAnsi="宋体" w:eastAsia="宋体" w:cs="宋体"/>
          <w:sz w:val="21"/>
        </w:rPr>
        <w:t>表2.1-1-5全生产委员会 会议纪要</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8"/>
        <w:gridCol w:w="1528"/>
        <w:gridCol w:w="1528"/>
        <w:gridCol w:w="1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13" w:type="dxa"/>
            <w:gridSpan w:val="4"/>
            <w:vAlign w:val="center"/>
          </w:tcPr>
          <w:p>
            <w:pPr>
              <w:spacing w:after="120"/>
              <w:jc w:val="center"/>
              <w:rPr>
                <w:rFonts w:eastAsia="宋体" w:cs="Times New Roman"/>
                <w:sz w:val="21"/>
                <w:szCs w:val="21"/>
              </w:rPr>
            </w:pPr>
            <w:r>
              <w:rPr>
                <w:rFonts w:eastAsia="宋体" w:cs="Times New Roman"/>
                <w:sz w:val="21"/>
                <w:szCs w:val="21"/>
              </w:rPr>
              <w:t>××公司安全生产委员会会议纪要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会议时间</w:t>
            </w:r>
          </w:p>
        </w:tc>
        <w:tc>
          <w:tcPr>
            <w:tcW w:w="1528" w:type="dxa"/>
            <w:vAlign w:val="center"/>
          </w:tcPr>
          <w:p>
            <w:pPr>
              <w:spacing w:after="120"/>
              <w:jc w:val="center"/>
              <w:rPr>
                <w:rFonts w:eastAsia="宋体" w:cs="Times New Roman"/>
                <w:sz w:val="21"/>
                <w:szCs w:val="21"/>
              </w:rPr>
            </w:pPr>
          </w:p>
        </w:tc>
        <w:tc>
          <w:tcPr>
            <w:tcW w:w="1528" w:type="dxa"/>
            <w:vAlign w:val="center"/>
          </w:tcPr>
          <w:p>
            <w:pPr>
              <w:spacing w:after="120"/>
              <w:jc w:val="center"/>
              <w:rPr>
                <w:rFonts w:eastAsia="宋体" w:cs="Times New Roman"/>
                <w:sz w:val="21"/>
                <w:szCs w:val="21"/>
              </w:rPr>
            </w:pPr>
            <w:r>
              <w:rPr>
                <w:rFonts w:eastAsia="宋体" w:cs="Times New Roman"/>
                <w:sz w:val="21"/>
                <w:szCs w:val="21"/>
              </w:rPr>
              <w:t>会议地点</w:t>
            </w:r>
          </w:p>
        </w:tc>
        <w:tc>
          <w:tcPr>
            <w:tcW w:w="1529" w:type="dxa"/>
            <w:vAlign w:val="center"/>
          </w:tcPr>
          <w:p>
            <w:pPr>
              <w:spacing w:after="120"/>
              <w:jc w:val="center"/>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主持人</w:t>
            </w:r>
          </w:p>
        </w:tc>
        <w:tc>
          <w:tcPr>
            <w:tcW w:w="1528" w:type="dxa"/>
            <w:vAlign w:val="center"/>
          </w:tcPr>
          <w:p>
            <w:pPr>
              <w:spacing w:after="120"/>
              <w:jc w:val="center"/>
              <w:rPr>
                <w:rFonts w:eastAsia="宋体" w:cs="Times New Roman"/>
                <w:sz w:val="21"/>
                <w:szCs w:val="21"/>
              </w:rPr>
            </w:pPr>
          </w:p>
        </w:tc>
        <w:tc>
          <w:tcPr>
            <w:tcW w:w="1528" w:type="dxa"/>
            <w:vAlign w:val="center"/>
          </w:tcPr>
          <w:p>
            <w:pPr>
              <w:spacing w:after="120"/>
              <w:jc w:val="center"/>
              <w:rPr>
                <w:rFonts w:eastAsia="宋体" w:cs="Times New Roman"/>
                <w:sz w:val="21"/>
                <w:szCs w:val="21"/>
              </w:rPr>
            </w:pPr>
            <w:r>
              <w:rPr>
                <w:rFonts w:eastAsia="宋体" w:cs="Times New Roman"/>
                <w:sz w:val="21"/>
                <w:szCs w:val="21"/>
              </w:rPr>
              <w:t>记录人</w:t>
            </w:r>
          </w:p>
        </w:tc>
        <w:tc>
          <w:tcPr>
            <w:tcW w:w="1529" w:type="dxa"/>
            <w:vAlign w:val="center"/>
          </w:tcPr>
          <w:p>
            <w:pPr>
              <w:spacing w:after="120"/>
              <w:jc w:val="center"/>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应到人数</w:t>
            </w:r>
          </w:p>
        </w:tc>
        <w:tc>
          <w:tcPr>
            <w:tcW w:w="1528" w:type="dxa"/>
            <w:vAlign w:val="center"/>
          </w:tcPr>
          <w:p>
            <w:pPr>
              <w:spacing w:after="120"/>
              <w:jc w:val="center"/>
              <w:rPr>
                <w:rFonts w:eastAsia="宋体" w:cs="Times New Roman"/>
                <w:sz w:val="21"/>
                <w:szCs w:val="21"/>
              </w:rPr>
            </w:pPr>
          </w:p>
        </w:tc>
        <w:tc>
          <w:tcPr>
            <w:tcW w:w="1528" w:type="dxa"/>
            <w:vAlign w:val="center"/>
          </w:tcPr>
          <w:p>
            <w:pPr>
              <w:spacing w:after="120"/>
              <w:jc w:val="center"/>
              <w:rPr>
                <w:rFonts w:eastAsia="宋体" w:cs="Times New Roman"/>
                <w:sz w:val="21"/>
                <w:szCs w:val="21"/>
              </w:rPr>
            </w:pPr>
            <w:r>
              <w:rPr>
                <w:rFonts w:eastAsia="宋体" w:cs="Times New Roman"/>
                <w:sz w:val="21"/>
                <w:szCs w:val="21"/>
              </w:rPr>
              <w:t>实到人数</w:t>
            </w:r>
          </w:p>
        </w:tc>
        <w:tc>
          <w:tcPr>
            <w:tcW w:w="1529" w:type="dxa"/>
            <w:vAlign w:val="center"/>
          </w:tcPr>
          <w:p>
            <w:pPr>
              <w:spacing w:after="120"/>
              <w:jc w:val="center"/>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安委会成员</w:t>
            </w:r>
          </w:p>
        </w:tc>
        <w:tc>
          <w:tcPr>
            <w:tcW w:w="4585" w:type="dxa"/>
            <w:gridSpan w:val="3"/>
            <w:vAlign w:val="center"/>
          </w:tcPr>
          <w:p>
            <w:pPr>
              <w:spacing w:after="120"/>
              <w:jc w:val="center"/>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主要议题</w:t>
            </w:r>
          </w:p>
        </w:tc>
        <w:tc>
          <w:tcPr>
            <w:tcW w:w="4585" w:type="dxa"/>
            <w:gridSpan w:val="3"/>
            <w:vAlign w:val="center"/>
          </w:tcPr>
          <w:p>
            <w:pPr>
              <w:spacing w:after="120"/>
              <w:jc w:val="center"/>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上次会议工作落实情况</w:t>
            </w:r>
          </w:p>
        </w:tc>
        <w:tc>
          <w:tcPr>
            <w:tcW w:w="4585" w:type="dxa"/>
            <w:gridSpan w:val="3"/>
            <w:vAlign w:val="center"/>
          </w:tcPr>
          <w:p>
            <w:pPr>
              <w:spacing w:after="120"/>
              <w:jc w:val="center"/>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会议内容</w:t>
            </w:r>
          </w:p>
        </w:tc>
        <w:tc>
          <w:tcPr>
            <w:tcW w:w="4585" w:type="dxa"/>
            <w:gridSpan w:val="3"/>
            <w:vAlign w:val="center"/>
          </w:tcPr>
          <w:p>
            <w:pPr>
              <w:spacing w:after="120"/>
              <w:jc w:val="center"/>
              <w:rPr>
                <w:rFonts w:eastAsia="宋体" w:cs="Times New Roman"/>
                <w:sz w:val="21"/>
                <w:szCs w:val="21"/>
              </w:rPr>
            </w:pPr>
          </w:p>
          <w:p>
            <w:pPr>
              <w:spacing w:after="120"/>
              <w:jc w:val="center"/>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会议决策</w:t>
            </w:r>
          </w:p>
        </w:tc>
        <w:tc>
          <w:tcPr>
            <w:tcW w:w="4585" w:type="dxa"/>
            <w:gridSpan w:val="3"/>
            <w:vAlign w:val="center"/>
          </w:tcPr>
          <w:p>
            <w:pPr>
              <w:spacing w:after="120"/>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涉及到的相关责任部门</w:t>
            </w:r>
          </w:p>
        </w:tc>
        <w:tc>
          <w:tcPr>
            <w:tcW w:w="4585" w:type="dxa"/>
            <w:gridSpan w:val="3"/>
            <w:vAlign w:val="center"/>
          </w:tcPr>
          <w:p>
            <w:pPr>
              <w:spacing w:after="120"/>
              <w:jc w:val="center"/>
              <w:rPr>
                <w:rFonts w:eastAsia="宋体" w:cs="Times New Roman"/>
                <w:sz w:val="21"/>
                <w:szCs w:val="21"/>
              </w:rPr>
            </w:pPr>
          </w:p>
          <w:p>
            <w:pPr>
              <w:spacing w:after="120"/>
              <w:jc w:val="center"/>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8" w:type="dxa"/>
            <w:vAlign w:val="center"/>
          </w:tcPr>
          <w:p>
            <w:pPr>
              <w:spacing w:after="120"/>
              <w:jc w:val="center"/>
              <w:rPr>
                <w:rFonts w:eastAsia="宋体" w:cs="Times New Roman"/>
                <w:sz w:val="21"/>
                <w:szCs w:val="21"/>
              </w:rPr>
            </w:pPr>
            <w:r>
              <w:rPr>
                <w:rFonts w:eastAsia="宋体" w:cs="Times New Roman"/>
                <w:sz w:val="21"/>
                <w:szCs w:val="21"/>
              </w:rPr>
              <w:t>抄送</w:t>
            </w:r>
          </w:p>
        </w:tc>
        <w:tc>
          <w:tcPr>
            <w:tcW w:w="4585" w:type="dxa"/>
            <w:gridSpan w:val="3"/>
            <w:vAlign w:val="center"/>
          </w:tcPr>
          <w:p>
            <w:pPr>
              <w:spacing w:after="120"/>
              <w:jc w:val="center"/>
              <w:rPr>
                <w:rFonts w:eastAsia="宋体" w:cs="Times New Roman"/>
                <w:sz w:val="21"/>
                <w:szCs w:val="21"/>
              </w:rPr>
            </w:pPr>
          </w:p>
        </w:tc>
      </w:tr>
    </w:tbl>
    <w:p>
      <w:pPr>
        <w:spacing w:line="360" w:lineRule="auto"/>
        <w:ind w:firstLine="480" w:firstLineChars="200"/>
        <w:rPr>
          <w:rFonts w:eastAsia="宋体" w:cs="Times New Roman"/>
          <w:sz w:val="24"/>
          <w:szCs w:val="21"/>
        </w:rPr>
      </w:pPr>
    </w:p>
    <w:p>
      <w:pPr>
        <w:spacing w:line="360" w:lineRule="auto"/>
        <w:ind w:firstLine="480" w:firstLineChars="200"/>
        <w:rPr>
          <w:rFonts w:eastAsia="宋体" w:cs="Times New Roman"/>
          <w:sz w:val="24"/>
          <w:szCs w:val="21"/>
        </w:rPr>
      </w:pPr>
      <w:r>
        <w:rPr>
          <w:rFonts w:eastAsia="宋体" w:cs="Times New Roman"/>
          <w:sz w:val="24"/>
          <w:szCs w:val="21"/>
        </w:rPr>
        <w:t>（二）企业明确安全管理岗位职责的同时应明确相应的权力，并建立奖惩制度。</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eastAsia="宋体" w:cs="Times New Roman"/>
          <w:sz w:val="24"/>
          <w:szCs w:val="21"/>
        </w:rPr>
        <w:t>企业应结合实际，建立《安全奖惩管理制度》，制度文件需经初评、评审、主要负责人批准、发布、人员培训和归档，形成有效的制度文件。</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二、职责</w:t>
      </w:r>
    </w:p>
    <w:p>
      <w:pPr>
        <w:spacing w:line="360" w:lineRule="auto"/>
        <w:ind w:firstLine="480" w:firstLineChars="200"/>
        <w:rPr>
          <w:rFonts w:eastAsia="宋体" w:cs="Times New Roman"/>
          <w:sz w:val="24"/>
          <w:szCs w:val="21"/>
        </w:rPr>
      </w:pPr>
      <w:r>
        <w:rPr>
          <w:rFonts w:eastAsia="宋体" w:cs="Times New Roman"/>
          <w:sz w:val="24"/>
          <w:szCs w:val="21"/>
        </w:rPr>
        <w:t>（一）企业主要负责人应按照安全生产法律法规赋予的职责，全面负责安全生产工作，并履行安全生产义务；（企业落实安全生产主体责任检查要点20条第1条）</w:t>
      </w:r>
    </w:p>
    <w:p>
      <w:pPr>
        <w:spacing w:line="360" w:lineRule="auto"/>
        <w:ind w:firstLine="482" w:firstLineChars="200"/>
        <w:rPr>
          <w:rFonts w:eastAsia="宋体" w:cs="Times New Roman"/>
          <w:b/>
          <w:sz w:val="24"/>
          <w:szCs w:val="21"/>
        </w:rPr>
      </w:pPr>
      <w:r>
        <w:rPr>
          <w:rFonts w:eastAsia="宋体" w:cs="Times New Roman"/>
          <w:b/>
          <w:sz w:val="24"/>
          <w:szCs w:val="21"/>
        </w:rPr>
        <w:t>主要负责人全面负责安全生产工作，并履行下列主要职责：组织建立健全并落实本单位全员安全生产责任制，加强安全生产标准化建设，并保证有效执行；组织制定安全生产规章制度和操作规程，并保证其有效实施；保证本单位安全生产投入的有效实施；组织建立并落实安全风险分级管控和隐患排查治理双重预防工作机制，督促、检查本单位的安全生产工作，及时消除生产安全事故隐患；组织制定并实施本单位的生产安全事故应急救援预案；及时、如实报告生产安全事故。建立完善企业安全承诺制度，公开落实主体责任。</w:t>
      </w:r>
    </w:p>
    <w:p>
      <w:pPr>
        <w:spacing w:line="360" w:lineRule="auto"/>
        <w:ind w:firstLine="480" w:firstLineChars="200"/>
        <w:rPr>
          <w:rFonts w:eastAsia="宋体" w:cs="Times New Roman"/>
          <w:sz w:val="24"/>
          <w:szCs w:val="21"/>
        </w:rPr>
      </w:pPr>
      <w:r>
        <w:rPr>
          <w:rFonts w:eastAsia="宋体" w:cs="Times New Roman"/>
          <w:sz w:val="24"/>
          <w:szCs w:val="21"/>
        </w:rPr>
        <w:t>（二）企业应建立安全生产责任制，明确各级单位、部门和人员的安全生产职责；（企业落实安全生产主体责任检查要点20条第6条）</w:t>
      </w:r>
    </w:p>
    <w:p>
      <w:pPr>
        <w:spacing w:line="360" w:lineRule="auto"/>
        <w:ind w:firstLine="480" w:firstLineChars="200"/>
        <w:rPr>
          <w:rFonts w:eastAsia="宋体" w:cs="Times New Roman"/>
          <w:sz w:val="24"/>
          <w:szCs w:val="21"/>
        </w:rPr>
      </w:pPr>
      <w:r>
        <w:rPr>
          <w:rFonts w:eastAsia="宋体" w:cs="Times New Roman"/>
          <w:sz w:val="24"/>
          <w:szCs w:val="21"/>
        </w:rPr>
        <w:t>1.建立针对安全生产责任制的制定、沟通、培训、评审、修订及考核等环节内容的管理制度。</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eastAsia="宋体" w:cs="Times New Roman"/>
          <w:sz w:val="24"/>
          <w:szCs w:val="21"/>
        </w:rPr>
        <w:t>企业应结合实际，建立《安全生产责任制管理制度》，制度文件需经初评、评审、主要负责人批准、发布、人员培训和归档，形成有效的制度文件。</w:t>
      </w:r>
    </w:p>
    <w:p>
      <w:pPr>
        <w:spacing w:line="360" w:lineRule="auto"/>
        <w:ind w:firstLine="480" w:firstLineChars="200"/>
        <w:rPr>
          <w:rFonts w:eastAsia="宋体" w:cs="Times New Roman"/>
          <w:sz w:val="24"/>
          <w:szCs w:val="21"/>
        </w:rPr>
      </w:pPr>
      <w:r>
        <w:rPr>
          <w:rFonts w:eastAsia="宋体" w:cs="Times New Roman"/>
          <w:sz w:val="24"/>
          <w:szCs w:val="21"/>
        </w:rPr>
        <w:t>2.建立、健全安全生产责任制，并对落实情况进行考核。</w:t>
      </w:r>
    </w:p>
    <w:p>
      <w:pPr>
        <w:spacing w:line="360" w:lineRule="auto"/>
        <w:ind w:firstLine="480" w:firstLineChars="200"/>
        <w:rPr>
          <w:rFonts w:eastAsia="宋体" w:cs="Times New Roman"/>
          <w:sz w:val="24"/>
          <w:szCs w:val="21"/>
        </w:rPr>
      </w:pPr>
      <w:r>
        <w:rPr>
          <w:rFonts w:hint="eastAsia" w:eastAsia="宋体" w:cs="Times New Roman"/>
          <w:sz w:val="24"/>
          <w:szCs w:val="21"/>
        </w:rPr>
        <w:t>释义</w:t>
      </w:r>
      <w:r>
        <w:rPr>
          <w:rFonts w:eastAsia="宋体" w:cs="Times New Roman"/>
          <w:sz w:val="24"/>
          <w:szCs w:val="21"/>
        </w:rPr>
        <w:t>：根据2021年9月1日实施的中华人民共和国《安全生产法》，修订和完善本公司《全员安全生产责任制》，并经初评、评审、主要负责人批准、发布、各部门下发、人员培训和归档，形成有效的制度文件。并对责任制落实情况进行考核。</w:t>
      </w:r>
    </w:p>
    <w:p>
      <w:pPr>
        <w:pStyle w:val="2"/>
        <w:jc w:val="center"/>
      </w:pPr>
      <w:r>
        <w:drawing>
          <wp:inline distT="0" distB="0" distL="0" distR="0">
            <wp:extent cx="3888105" cy="1859915"/>
            <wp:effectExtent l="0" t="0" r="0"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8"/>
                    <a:stretch>
                      <a:fillRect/>
                    </a:stretch>
                  </pic:blipFill>
                  <pic:spPr>
                    <a:xfrm>
                      <a:off x="0" y="0"/>
                      <a:ext cx="3888105" cy="1859915"/>
                    </a:xfrm>
                    <a:prstGeom prst="rect">
                      <a:avLst/>
                    </a:prstGeom>
                  </pic:spPr>
                </pic:pic>
              </a:graphicData>
            </a:graphic>
          </wp:inline>
        </w:drawing>
      </w:r>
    </w:p>
    <w:p>
      <w:pPr>
        <w:pStyle w:val="2"/>
        <w:jc w:val="center"/>
        <w:rPr>
          <w:rFonts w:ascii="宋体" w:hAnsi="宋体"/>
          <w:sz w:val="21"/>
        </w:rPr>
      </w:pPr>
      <w:r>
        <w:rPr>
          <w:rFonts w:hint="eastAsia" w:ascii="宋体" w:hAnsi="宋体"/>
          <w:sz w:val="21"/>
        </w:rPr>
        <w:t>图2</w:t>
      </w:r>
      <w:r>
        <w:rPr>
          <w:rFonts w:ascii="宋体" w:hAnsi="宋体"/>
          <w:sz w:val="21"/>
        </w:rPr>
        <w:t>.2</w:t>
      </w:r>
      <w:r>
        <w:rPr>
          <w:rFonts w:hint="eastAsia" w:ascii="宋体" w:hAnsi="宋体"/>
          <w:sz w:val="21"/>
        </w:rPr>
        <w:t>-</w:t>
      </w:r>
      <w:r>
        <w:rPr>
          <w:rFonts w:ascii="宋体" w:hAnsi="宋体"/>
          <w:sz w:val="21"/>
        </w:rPr>
        <w:t>2</w:t>
      </w:r>
      <w:r>
        <w:rPr>
          <w:rFonts w:hint="eastAsia" w:ascii="宋体" w:hAnsi="宋体"/>
          <w:sz w:val="21"/>
        </w:rPr>
        <w:t>-</w:t>
      </w:r>
      <w:r>
        <w:rPr>
          <w:rFonts w:ascii="宋体" w:hAnsi="宋体"/>
          <w:sz w:val="21"/>
        </w:rPr>
        <w:t xml:space="preserve">2 </w:t>
      </w:r>
      <w:r>
        <w:rPr>
          <w:rFonts w:hint="eastAsia" w:ascii="宋体" w:hAnsi="宋体"/>
          <w:sz w:val="21"/>
        </w:rPr>
        <w:t>“三管三必须”</w:t>
      </w:r>
    </w:p>
    <w:p>
      <w:pPr>
        <w:spacing w:line="360" w:lineRule="auto"/>
        <w:ind w:firstLine="480" w:firstLineChars="200"/>
        <w:rPr>
          <w:rFonts w:eastAsia="宋体" w:cs="Times New Roman"/>
          <w:sz w:val="24"/>
          <w:szCs w:val="21"/>
        </w:rPr>
      </w:pPr>
      <w:r>
        <w:rPr>
          <w:rFonts w:eastAsia="宋体" w:cs="Times New Roman"/>
          <w:sz w:val="24"/>
          <w:szCs w:val="21"/>
        </w:rPr>
        <w:t>3.对企业安全生产责任制实行可视化管理。</w:t>
      </w:r>
    </w:p>
    <w:p>
      <w:pPr>
        <w:spacing w:line="360" w:lineRule="auto"/>
        <w:ind w:firstLine="482" w:firstLineChars="200"/>
        <w:rPr>
          <w:rFonts w:eastAsia="宋体" w:cs="Times New Roman"/>
          <w:sz w:val="24"/>
          <w:szCs w:val="21"/>
        </w:rPr>
      </w:pPr>
      <w:r>
        <w:rPr>
          <w:rFonts w:eastAsia="宋体" w:cs="Times New Roman"/>
          <w:b/>
          <w:sz w:val="24"/>
          <w:szCs w:val="21"/>
        </w:rPr>
        <w:t>释义：</w:t>
      </w:r>
      <w:r>
        <w:rPr>
          <w:rFonts w:eastAsia="宋体" w:cs="Times New Roman"/>
          <w:sz w:val="24"/>
          <w:szCs w:val="21"/>
        </w:rPr>
        <w:t>各部门、岗位安全职责设置在对应的部门、岗位，实施安全生产责任制可视化，建议尺寸（90cm×60cm）。</w:t>
      </w:r>
    </w:p>
    <w:p>
      <w:pPr>
        <w:spacing w:after="120"/>
        <w:jc w:val="center"/>
        <w:rPr>
          <w:rFonts w:eastAsia="宋体" w:cs="Times New Roman"/>
          <w:sz w:val="28"/>
          <w:szCs w:val="20"/>
        </w:rPr>
      </w:pPr>
      <w:r>
        <w:rPr>
          <w:rFonts w:eastAsia="宋体" w:cs="Times New Roman"/>
          <w:sz w:val="28"/>
          <w:szCs w:val="20"/>
        </w:rPr>
        <w:drawing>
          <wp:inline distT="0" distB="0" distL="0" distR="0">
            <wp:extent cx="1481455" cy="2090420"/>
            <wp:effectExtent l="0" t="0" r="4445" b="5080"/>
            <wp:docPr id="7212" name="图片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 name="图片 7212"/>
                    <pic:cNvPicPr>
                      <a:picLocks noChangeAspect="1"/>
                    </pic:cNvPicPr>
                  </pic:nvPicPr>
                  <pic:blipFill>
                    <a:blip r:embed="rId19" cstate="print">
                      <a:extLst>
                        <a:ext uri="{28A0092B-C50C-407E-A947-70E740481C1C}">
                          <a14:useLocalDpi xmlns:a14="http://schemas.microsoft.com/office/drawing/2010/main" val="0"/>
                        </a:ext>
                      </a:extLst>
                    </a:blip>
                    <a:srcRect b="5882"/>
                    <a:stretch>
                      <a:fillRect/>
                    </a:stretch>
                  </pic:blipFill>
                  <pic:spPr>
                    <a:xfrm>
                      <a:off x="0" y="0"/>
                      <a:ext cx="1485221" cy="2095755"/>
                    </a:xfrm>
                    <a:prstGeom prst="rect">
                      <a:avLst/>
                    </a:prstGeom>
                    <a:ln>
                      <a:noFill/>
                    </a:ln>
                  </pic:spPr>
                </pic:pic>
              </a:graphicData>
            </a:graphic>
          </wp:inline>
        </w:drawing>
      </w:r>
      <w:r>
        <w:rPr>
          <w:rFonts w:hint="eastAsia" w:eastAsia="宋体" w:cs="Times New Roman"/>
          <w:sz w:val="28"/>
          <w:szCs w:val="20"/>
        </w:rPr>
        <w:t xml:space="preserve"> </w:t>
      </w:r>
      <w:r>
        <w:rPr>
          <w:rFonts w:eastAsia="宋体" w:cs="Times New Roman"/>
          <w:sz w:val="28"/>
          <w:szCs w:val="20"/>
        </w:rPr>
        <w:drawing>
          <wp:inline distT="0" distB="0" distL="0" distR="0">
            <wp:extent cx="1643380" cy="2088515"/>
            <wp:effectExtent l="0" t="0" r="0" b="698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0" cstate="print">
                      <a:extLst>
                        <a:ext uri="{28A0092B-C50C-407E-A947-70E740481C1C}">
                          <a14:useLocalDpi xmlns:a14="http://schemas.microsoft.com/office/drawing/2010/main" val="0"/>
                        </a:ext>
                      </a:extLst>
                    </a:blip>
                    <a:srcRect b="4663"/>
                    <a:stretch>
                      <a:fillRect/>
                    </a:stretch>
                  </pic:blipFill>
                  <pic:spPr>
                    <a:xfrm>
                      <a:off x="0" y="0"/>
                      <a:ext cx="1653313" cy="2101620"/>
                    </a:xfrm>
                    <a:prstGeom prst="rect">
                      <a:avLst/>
                    </a:prstGeom>
                    <a:ln>
                      <a:noFill/>
                    </a:ln>
                  </pic:spPr>
                </pic:pic>
              </a:graphicData>
            </a:graphic>
          </wp:inline>
        </w:drawing>
      </w:r>
    </w:p>
    <w:p>
      <w:pPr>
        <w:spacing w:after="120"/>
        <w:jc w:val="center"/>
        <w:rPr>
          <w:rFonts w:eastAsia="宋体" w:cs="Times New Roman"/>
          <w:b/>
          <w:bCs/>
          <w:sz w:val="21"/>
          <w:szCs w:val="20"/>
        </w:rPr>
      </w:pPr>
      <w:r>
        <w:rPr>
          <w:rFonts w:hint="eastAsia" w:ascii="宋体" w:hAnsi="宋体"/>
          <w:sz w:val="21"/>
        </w:rPr>
        <w:t>图</w:t>
      </w:r>
      <w:r>
        <w:rPr>
          <w:rFonts w:ascii="宋体" w:hAnsi="宋体"/>
          <w:sz w:val="21"/>
        </w:rPr>
        <w:t>2.2-2-3</w:t>
      </w:r>
      <w:r>
        <w:rPr>
          <w:rFonts w:hint="eastAsia" w:ascii="宋体" w:hAnsi="宋体"/>
          <w:sz w:val="21"/>
        </w:rPr>
        <w:t>岗位安全职责示例</w:t>
      </w:r>
    </w:p>
    <w:p>
      <w:pPr>
        <w:spacing w:line="360" w:lineRule="auto"/>
        <w:ind w:firstLine="480" w:firstLineChars="200"/>
        <w:rPr>
          <w:rFonts w:eastAsia="宋体" w:cs="Times New Roman"/>
          <w:sz w:val="24"/>
          <w:szCs w:val="21"/>
        </w:rPr>
      </w:pPr>
      <w:r>
        <w:rPr>
          <w:rFonts w:eastAsia="宋体" w:cs="Times New Roman"/>
          <w:sz w:val="24"/>
          <w:szCs w:val="21"/>
        </w:rPr>
        <w:t>4.建立内部安全生产监督考核机制，每年组织全员安全生产责任制落实情况考核，并将考核结果与员工收入、晋级等挂钩。</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eastAsia="宋体" w:cs="Times New Roman"/>
          <w:sz w:val="24"/>
          <w:szCs w:val="21"/>
        </w:rPr>
        <w:t>企业应结合实际，建立《安全生产监督考核制度》，制度文件需经初评、评审、主要负责人批准、发布、人员培训和归档，形成有效的制度文件。</w:t>
      </w:r>
    </w:p>
    <w:p>
      <w:pPr>
        <w:spacing w:line="360" w:lineRule="auto"/>
        <w:ind w:firstLine="480" w:firstLineChars="200"/>
        <w:rPr>
          <w:rFonts w:eastAsia="宋体" w:cs="Times New Roman"/>
          <w:sz w:val="24"/>
          <w:szCs w:val="21"/>
        </w:rPr>
      </w:pPr>
      <w:r>
        <w:rPr>
          <w:rFonts w:eastAsia="宋体" w:cs="Times New Roman"/>
          <w:sz w:val="24"/>
          <w:szCs w:val="21"/>
        </w:rPr>
        <w:t>5.重点行业领域要实行“以师带徒”制度。</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b/>
          <w:sz w:val="24"/>
          <w:szCs w:val="21"/>
        </w:rPr>
        <w:t>：</w:t>
      </w:r>
      <w:r>
        <w:rPr>
          <w:rFonts w:hint="eastAsia" w:eastAsia="宋体" w:cs="Times New Roman"/>
          <w:sz w:val="24"/>
          <w:szCs w:val="21"/>
        </w:rPr>
        <w:t>根据</w:t>
      </w:r>
      <w:r>
        <w:rPr>
          <w:rFonts w:eastAsia="宋体" w:cs="Times New Roman"/>
          <w:sz w:val="24"/>
          <w:szCs w:val="21"/>
        </w:rPr>
        <w:t>《国务院关于进一步加强企业安全生产工作的通知》（国发〔2010〕23号）</w:t>
      </w:r>
      <w:r>
        <w:rPr>
          <w:rFonts w:hint="eastAsia" w:eastAsia="宋体" w:cs="Times New Roman"/>
          <w:sz w:val="24"/>
          <w:szCs w:val="21"/>
        </w:rPr>
        <w:t>，重点行业领域</w:t>
      </w:r>
      <w:r>
        <w:rPr>
          <w:rFonts w:eastAsia="宋体" w:cs="Times New Roman"/>
          <w:sz w:val="24"/>
          <w:szCs w:val="21"/>
        </w:rPr>
        <w:t>实施《“以师带徒”管理制度》，签订“以师带徒”合同，明确合同时间、双方职责、计划、目标和考核等。</w:t>
      </w:r>
      <w:r>
        <w:rPr>
          <w:rFonts w:hint="eastAsia" w:eastAsia="宋体" w:cs="Times New Roman"/>
          <w:sz w:val="24"/>
          <w:szCs w:val="21"/>
        </w:rPr>
        <w:t>见图2</w:t>
      </w:r>
      <w:r>
        <w:rPr>
          <w:rFonts w:eastAsia="宋体" w:cs="Times New Roman"/>
          <w:sz w:val="24"/>
          <w:szCs w:val="21"/>
        </w:rPr>
        <w:t>.2-2-5</w:t>
      </w:r>
    </w:p>
    <w:p>
      <w:pPr>
        <w:spacing w:after="120"/>
        <w:jc w:val="center"/>
        <w:rPr>
          <w:rFonts w:eastAsia="宋体" w:cs="Times New Roman"/>
          <w:sz w:val="28"/>
          <w:szCs w:val="20"/>
        </w:rPr>
      </w:pPr>
      <w:r>
        <w:rPr>
          <w:rFonts w:eastAsia="宋体" w:cs="Times New Roman"/>
          <w:sz w:val="28"/>
          <w:szCs w:val="20"/>
        </w:rPr>
        <w:drawing>
          <wp:inline distT="0" distB="0" distL="0" distR="0">
            <wp:extent cx="2805430" cy="4161155"/>
            <wp:effectExtent l="9525" t="9525" r="23495" b="20320"/>
            <wp:docPr id="28716" name="图片 2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6" name="图片 28716"/>
                    <pic:cNvPicPr>
                      <a:picLocks noChangeAspect="1"/>
                    </pic:cNvPicPr>
                  </pic:nvPicPr>
                  <pic:blipFill>
                    <a:blip r:embed="rId21"/>
                    <a:stretch>
                      <a:fillRect/>
                    </a:stretch>
                  </pic:blipFill>
                  <pic:spPr>
                    <a:xfrm>
                      <a:off x="0" y="0"/>
                      <a:ext cx="2805430" cy="4161155"/>
                    </a:xfrm>
                    <a:prstGeom prst="rect">
                      <a:avLst/>
                    </a:prstGeom>
                    <a:ln>
                      <a:solidFill>
                        <a:sysClr val="windowText" lastClr="000000">
                          <a:lumMod val="75000"/>
                          <a:lumOff val="25000"/>
                        </a:sysClr>
                      </a:solidFill>
                    </a:ln>
                  </pic:spPr>
                </pic:pic>
              </a:graphicData>
            </a:graphic>
          </wp:inline>
        </w:drawing>
      </w:r>
    </w:p>
    <w:p>
      <w:pPr>
        <w:spacing w:after="120"/>
        <w:jc w:val="center"/>
        <w:rPr>
          <w:rFonts w:eastAsia="宋体" w:cs="Times New Roman"/>
          <w:b/>
          <w:bCs/>
          <w:sz w:val="21"/>
          <w:szCs w:val="20"/>
        </w:rPr>
      </w:pPr>
      <w:r>
        <w:rPr>
          <w:rFonts w:hint="eastAsia" w:ascii="宋体" w:hAnsi="宋体"/>
          <w:sz w:val="21"/>
        </w:rPr>
        <w:t>图</w:t>
      </w:r>
      <w:r>
        <w:rPr>
          <w:rFonts w:ascii="宋体" w:hAnsi="宋体"/>
          <w:sz w:val="21"/>
        </w:rPr>
        <w:t>2.2-2-5</w:t>
      </w:r>
      <w:r>
        <w:rPr>
          <w:rFonts w:hint="eastAsia" w:ascii="宋体" w:hAnsi="宋体"/>
          <w:sz w:val="21"/>
        </w:rPr>
        <w:t>导师带徒合同书示例</w:t>
      </w:r>
    </w:p>
    <w:p>
      <w:pPr>
        <w:spacing w:line="360" w:lineRule="auto"/>
        <w:ind w:firstLine="480" w:firstLineChars="200"/>
        <w:rPr>
          <w:rFonts w:eastAsia="宋体" w:cs="Times New Roman"/>
          <w:sz w:val="24"/>
          <w:szCs w:val="21"/>
        </w:rPr>
      </w:pPr>
      <w:r>
        <w:rPr>
          <w:rFonts w:eastAsia="宋体" w:cs="Times New Roman"/>
          <w:sz w:val="24"/>
          <w:szCs w:val="21"/>
        </w:rPr>
        <w:t>6.对各级管理层进行安全生产责任制与权限的培训。</w:t>
      </w:r>
    </w:p>
    <w:p>
      <w:pPr>
        <w:spacing w:line="360" w:lineRule="auto"/>
        <w:ind w:firstLine="480" w:firstLineChars="200"/>
        <w:rPr>
          <w:rFonts w:eastAsia="宋体" w:cs="Times New Roman"/>
          <w:sz w:val="24"/>
          <w:szCs w:val="21"/>
        </w:rPr>
      </w:pPr>
      <w:r>
        <w:rPr>
          <w:rFonts w:hint="eastAsia" w:eastAsia="宋体" w:cs="Times New Roman"/>
          <w:sz w:val="24"/>
          <w:szCs w:val="21"/>
        </w:rPr>
        <w:t>释义</w:t>
      </w:r>
      <w:r>
        <w:rPr>
          <w:rFonts w:eastAsia="宋体" w:cs="Times New Roman"/>
          <w:sz w:val="24"/>
          <w:szCs w:val="21"/>
        </w:rPr>
        <w:t>：企业应每年对各级管理层进行安全生产责任制与权限的培训及考核（口头提问或考卷），参训人员应熟悉安全生产职责，培训应做好培训签到、培训效果评估。</w:t>
      </w:r>
    </w:p>
    <w:p>
      <w:pPr>
        <w:spacing w:after="120"/>
        <w:jc w:val="center"/>
        <w:rPr>
          <w:rFonts w:ascii="宋体" w:hAnsi="宋体"/>
          <w:sz w:val="21"/>
        </w:rPr>
      </w:pPr>
    </w:p>
    <w:p>
      <w:pPr>
        <w:spacing w:after="120"/>
        <w:jc w:val="center"/>
        <w:rPr>
          <w:rFonts w:eastAsia="宋体" w:cs="Times New Roman"/>
          <w:b/>
          <w:bCs/>
          <w:sz w:val="21"/>
          <w:szCs w:val="20"/>
        </w:rPr>
      </w:pPr>
      <w:r>
        <w:rPr>
          <w:rFonts w:hint="eastAsia" w:ascii="宋体" w:hAnsi="宋体"/>
          <w:sz w:val="21"/>
        </w:rPr>
        <w:t>表</w:t>
      </w:r>
      <w:r>
        <w:rPr>
          <w:rFonts w:ascii="宋体" w:hAnsi="宋体"/>
          <w:sz w:val="21"/>
        </w:rPr>
        <w:t>2.2-2-6</w:t>
      </w:r>
      <w:r>
        <w:rPr>
          <w:rFonts w:hint="eastAsia" w:ascii="宋体" w:hAnsi="宋体"/>
          <w:sz w:val="21"/>
        </w:rPr>
        <w:t>培训教育记录表及培训效果评价表</w:t>
      </w:r>
    </w:p>
    <w:p>
      <w:pPr>
        <w:spacing w:after="120" w:line="360" w:lineRule="auto"/>
        <w:jc w:val="center"/>
        <w:rPr>
          <w:rFonts w:eastAsia="宋体" w:cs="Times New Roman"/>
        </w:rPr>
      </w:pPr>
      <w:r>
        <w:rPr>
          <w:rFonts w:eastAsia="宋体" w:cs="Times New Roman"/>
          <w:sz w:val="28"/>
          <w:szCs w:val="20"/>
        </w:rPr>
        <w:drawing>
          <wp:inline distT="0" distB="0" distL="0" distR="0">
            <wp:extent cx="4017010" cy="2519680"/>
            <wp:effectExtent l="0" t="0" r="2540" b="0"/>
            <wp:docPr id="28733" name="图片 2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3" name="图片 28733"/>
                    <pic:cNvPicPr>
                      <a:picLocks noChangeAspect="1"/>
                    </pic:cNvPicPr>
                  </pic:nvPicPr>
                  <pic:blipFill>
                    <a:blip r:embed="rId22"/>
                    <a:stretch>
                      <a:fillRect/>
                    </a:stretch>
                  </pic:blipFill>
                  <pic:spPr>
                    <a:xfrm>
                      <a:off x="0" y="0"/>
                      <a:ext cx="4017600" cy="2520000"/>
                    </a:xfrm>
                    <a:prstGeom prst="rect">
                      <a:avLst/>
                    </a:prstGeom>
                  </pic:spPr>
                </pic:pic>
              </a:graphicData>
            </a:graphic>
          </wp:inline>
        </w:drawing>
      </w:r>
    </w:p>
    <w:p>
      <w:pPr>
        <w:spacing w:line="360" w:lineRule="auto"/>
        <w:ind w:firstLine="480" w:firstLineChars="200"/>
        <w:rPr>
          <w:rFonts w:eastAsia="宋体" w:cs="Times New Roman"/>
          <w:sz w:val="24"/>
          <w:szCs w:val="21"/>
        </w:rPr>
      </w:pPr>
      <w:r>
        <w:rPr>
          <w:rFonts w:eastAsia="宋体" w:cs="Times New Roman"/>
          <w:sz w:val="24"/>
          <w:szCs w:val="21"/>
        </w:rPr>
        <w:t>7.定期对安全生产责任制进行适宜性评审与更新。</w:t>
      </w:r>
    </w:p>
    <w:p>
      <w:pPr>
        <w:spacing w:after="120" w:line="360" w:lineRule="auto"/>
        <w:ind w:firstLine="482" w:firstLineChars="200"/>
        <w:jc w:val="left"/>
        <w:rPr>
          <w:rFonts w:eastAsia="宋体" w:cs="Times New Roman"/>
          <w:sz w:val="24"/>
          <w:szCs w:val="21"/>
        </w:rPr>
      </w:pPr>
      <w:r>
        <w:rPr>
          <w:rFonts w:hint="eastAsia" w:eastAsia="宋体" w:cs="Times New Roman"/>
          <w:b/>
          <w:sz w:val="24"/>
          <w:szCs w:val="21"/>
        </w:rPr>
        <w:t>释义</w:t>
      </w:r>
      <w:r>
        <w:rPr>
          <w:rFonts w:hint="eastAsia" w:eastAsia="宋体" w:cs="Times New Roman"/>
          <w:sz w:val="24"/>
          <w:szCs w:val="21"/>
        </w:rPr>
        <w:t>：定期对安全生产责任制进行适宜性评审，并做好评审记录。评审、更新频次应符合制度规定。更新后应以文件形式发布。</w:t>
      </w:r>
    </w:p>
    <w:p>
      <w:pPr>
        <w:pStyle w:val="2"/>
        <w:rPr>
          <w:sz w:val="24"/>
          <w:szCs w:val="21"/>
        </w:rPr>
      </w:pPr>
    </w:p>
    <w:p>
      <w:pPr>
        <w:pStyle w:val="2"/>
        <w:rPr>
          <w:sz w:val="24"/>
          <w:szCs w:val="21"/>
        </w:rPr>
      </w:pPr>
    </w:p>
    <w:p>
      <w:pPr>
        <w:pStyle w:val="2"/>
        <w:rPr>
          <w:sz w:val="24"/>
          <w:szCs w:val="21"/>
        </w:rPr>
      </w:pPr>
    </w:p>
    <w:p>
      <w:pPr>
        <w:adjustRightInd w:val="0"/>
        <w:snapToGrid w:val="0"/>
        <w:spacing w:line="360" w:lineRule="auto"/>
        <w:contextualSpacing/>
        <w:jc w:val="center"/>
        <w:outlineLvl w:val="9"/>
        <w:rPr>
          <w:rFonts w:eastAsia="黑体" w:cs="Times New Roman"/>
          <w:sz w:val="28"/>
          <w:szCs w:val="28"/>
        </w:rPr>
      </w:pPr>
      <w:bookmarkStart w:id="4" w:name="_Toc93400221"/>
      <w:bookmarkStart w:id="5" w:name="_Toc92370383"/>
    </w:p>
    <w:p>
      <w:pPr>
        <w:adjustRightInd w:val="0"/>
        <w:snapToGrid w:val="0"/>
        <w:spacing w:line="360" w:lineRule="auto"/>
        <w:contextualSpacing/>
        <w:jc w:val="center"/>
        <w:outlineLvl w:val="0"/>
        <w:rPr>
          <w:rFonts w:eastAsia="黑体" w:cs="Times New Roman"/>
          <w:sz w:val="28"/>
          <w:szCs w:val="28"/>
        </w:rPr>
      </w:pPr>
      <w:bookmarkStart w:id="6" w:name="_Toc5967"/>
      <w:r>
        <w:rPr>
          <w:rFonts w:eastAsia="黑体" w:cs="Times New Roman"/>
          <w:sz w:val="28"/>
          <w:szCs w:val="28"/>
        </w:rPr>
        <w:t>第三章 安全生产投入</w:t>
      </w:r>
      <w:bookmarkEnd w:id="4"/>
      <w:bookmarkEnd w:id="5"/>
      <w:bookmarkEnd w:id="6"/>
    </w:p>
    <w:p>
      <w:pPr>
        <w:spacing w:line="360" w:lineRule="auto"/>
        <w:ind w:firstLine="480" w:firstLineChars="200"/>
        <w:rPr>
          <w:rFonts w:eastAsia="宋体" w:cs="Times New Roman"/>
          <w:sz w:val="24"/>
          <w:szCs w:val="21"/>
        </w:rPr>
      </w:pPr>
      <w:r>
        <w:rPr>
          <w:rFonts w:eastAsia="宋体" w:cs="Times New Roman"/>
          <w:sz w:val="24"/>
          <w:szCs w:val="21"/>
        </w:rPr>
        <w:t>企业应建立安全生产投入保障制度，完善和改进安全生产条件，按规定提取安全费用，专项用于安全生产，并建立安全费用台账。（企业落实安全生产主体责任检查要点20条第4条）</w:t>
      </w:r>
    </w:p>
    <w:p>
      <w:pPr>
        <w:spacing w:line="360" w:lineRule="auto"/>
        <w:ind w:firstLine="480" w:firstLineChars="200"/>
        <w:rPr>
          <w:rFonts w:eastAsia="宋体" w:cs="Times New Roman"/>
          <w:sz w:val="24"/>
          <w:szCs w:val="21"/>
        </w:rPr>
      </w:pPr>
      <w:r>
        <w:rPr>
          <w:rFonts w:eastAsia="宋体" w:cs="Times New Roman"/>
          <w:sz w:val="24"/>
          <w:szCs w:val="21"/>
        </w:rPr>
        <w:t>1.建立安全生产费用提取和使用管理制度。</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：企业应结合实际，建立《安全生产费用提取和使用管理制度》，制度文件需经初评、评审、主要负责人批准、发布、人员培训和归档，形成有效的制度文件。制度中应明确职责、流程、范围、检查等内容。</w:t>
      </w:r>
    </w:p>
    <w:p>
      <w:pPr>
        <w:spacing w:line="360" w:lineRule="auto"/>
        <w:ind w:firstLine="480" w:firstLineChars="200"/>
        <w:rPr>
          <w:rFonts w:eastAsia="宋体" w:cs="Times New Roman"/>
          <w:sz w:val="24"/>
          <w:szCs w:val="21"/>
        </w:rPr>
      </w:pPr>
      <w:r>
        <w:rPr>
          <w:rFonts w:eastAsia="宋体" w:cs="Times New Roman"/>
          <w:sz w:val="24"/>
          <w:szCs w:val="21"/>
        </w:rPr>
        <w:t>2.保证安全生产费用投入，专款专用，并建立安全生产费用使用台账。</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：企业应保证安全生产费用投入，专款专用，并在财务专项科目或报表中有安全生产费用归类统计。做好安全费用使用台账。</w:t>
      </w:r>
    </w:p>
    <w:p>
      <w:pPr>
        <w:spacing w:line="360" w:lineRule="auto"/>
        <w:ind w:firstLine="480" w:firstLineChars="200"/>
        <w:rPr>
          <w:rFonts w:eastAsia="宋体" w:cs="Times New Roman"/>
          <w:sz w:val="24"/>
          <w:szCs w:val="21"/>
        </w:rPr>
      </w:pPr>
      <w:r>
        <w:rPr>
          <w:rFonts w:eastAsia="宋体" w:cs="Times New Roman"/>
          <w:sz w:val="24"/>
          <w:szCs w:val="21"/>
        </w:rPr>
        <w:t>企业安全生产费用提取和使用的标准应参考财政部、安全监管总局以财企〔2012〕16号印发《企业安全生产费用提取和使用管理办法》。按规定提取安全生产费用，确保安全生产投入费用满足规定要求。</w:t>
      </w:r>
    </w:p>
    <w:p>
      <w:pPr>
        <w:pStyle w:val="2"/>
        <w:spacing w:line="360" w:lineRule="auto"/>
        <w:ind w:firstLine="480" w:firstLineChars="200"/>
        <w:rPr>
          <w:sz w:val="24"/>
          <w:szCs w:val="21"/>
        </w:rPr>
      </w:pPr>
      <w:r>
        <w:rPr>
          <w:rFonts w:hint="eastAsia"/>
          <w:sz w:val="24"/>
          <w:szCs w:val="21"/>
        </w:rPr>
        <w:t>企业应进入常州市企业安全生产管理信息系统（</w:t>
      </w:r>
      <w:r>
        <w:rPr>
          <w:sz w:val="24"/>
          <w:szCs w:val="21"/>
        </w:rPr>
        <w:t>http://www.jsczyj.cn/#/login/ent</w:t>
      </w:r>
      <w:r>
        <w:rPr>
          <w:rFonts w:hint="eastAsia"/>
          <w:sz w:val="24"/>
          <w:szCs w:val="21"/>
        </w:rPr>
        <w:t>），做好企业安全生产费用提取、使用和管理记录。见图3</w:t>
      </w:r>
      <w:r>
        <w:rPr>
          <w:sz w:val="24"/>
          <w:szCs w:val="21"/>
        </w:rPr>
        <w:t>.1-2</w:t>
      </w:r>
    </w:p>
    <w:p>
      <w:pPr>
        <w:pStyle w:val="2"/>
        <w:spacing w:line="360" w:lineRule="auto"/>
        <w:rPr>
          <w:sz w:val="24"/>
          <w:szCs w:val="21"/>
        </w:rPr>
      </w:pPr>
      <w:r>
        <w:drawing>
          <wp:inline distT="0" distB="0" distL="0" distR="0">
            <wp:extent cx="3888105" cy="16637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3"/>
                    <a:stretch>
                      <a:fillRect/>
                    </a:stretch>
                  </pic:blipFill>
                  <pic:spPr>
                    <a:xfrm>
                      <a:off x="0" y="0"/>
                      <a:ext cx="3888105" cy="1663700"/>
                    </a:xfrm>
                    <a:prstGeom prst="rect">
                      <a:avLst/>
                    </a:prstGeom>
                  </pic:spPr>
                </pic:pic>
              </a:graphicData>
            </a:graphic>
          </wp:inline>
        </w:drawing>
      </w:r>
    </w:p>
    <w:p>
      <w:pPr>
        <w:pStyle w:val="2"/>
        <w:spacing w:line="360" w:lineRule="auto"/>
        <w:ind w:firstLine="420" w:firstLineChars="200"/>
        <w:jc w:val="center"/>
        <w:rPr>
          <w:rFonts w:ascii="宋体" w:hAnsi="宋体"/>
          <w:sz w:val="21"/>
          <w:szCs w:val="21"/>
        </w:rPr>
      </w:pPr>
      <w:r>
        <w:rPr>
          <w:rFonts w:hint="eastAsia" w:ascii="宋体" w:hAnsi="宋体"/>
          <w:sz w:val="21"/>
          <w:szCs w:val="21"/>
        </w:rPr>
        <w:t>图3</w:t>
      </w:r>
      <w:r>
        <w:rPr>
          <w:rFonts w:ascii="宋体" w:hAnsi="宋体"/>
          <w:sz w:val="21"/>
          <w:szCs w:val="21"/>
        </w:rPr>
        <w:t>.1</w:t>
      </w:r>
      <w:r>
        <w:rPr>
          <w:rFonts w:hint="eastAsia" w:ascii="宋体" w:hAnsi="宋体"/>
          <w:sz w:val="21"/>
          <w:szCs w:val="21"/>
        </w:rPr>
        <w:t>-</w:t>
      </w:r>
      <w:r>
        <w:rPr>
          <w:rFonts w:ascii="宋体" w:hAnsi="宋体"/>
          <w:sz w:val="21"/>
          <w:szCs w:val="21"/>
        </w:rPr>
        <w:t>2</w:t>
      </w:r>
      <w:r>
        <w:rPr>
          <w:rFonts w:hint="eastAsia" w:ascii="宋体" w:hAnsi="宋体"/>
          <w:sz w:val="21"/>
          <w:szCs w:val="21"/>
        </w:rPr>
        <w:t>常州市企业安全生产管理信息系统安全费用投入模块</w:t>
      </w:r>
    </w:p>
    <w:p>
      <w:pPr>
        <w:spacing w:line="360" w:lineRule="auto"/>
        <w:ind w:firstLine="480" w:firstLineChars="200"/>
        <w:rPr>
          <w:rFonts w:eastAsia="宋体" w:cs="Times New Roman"/>
          <w:sz w:val="24"/>
          <w:szCs w:val="21"/>
        </w:rPr>
      </w:pPr>
      <w:r>
        <w:rPr>
          <w:rFonts w:eastAsia="宋体" w:cs="Times New Roman"/>
          <w:sz w:val="24"/>
          <w:szCs w:val="21"/>
        </w:rPr>
        <w:t>3.制定包含以下方面的安全生产费用的使用计划：</w:t>
      </w:r>
    </w:p>
    <w:p>
      <w:pPr>
        <w:spacing w:line="360" w:lineRule="auto"/>
        <w:ind w:firstLine="480" w:firstLineChars="200"/>
        <w:rPr>
          <w:rFonts w:eastAsia="宋体" w:cs="Times New Roman"/>
          <w:sz w:val="24"/>
          <w:szCs w:val="21"/>
        </w:rPr>
      </w:pPr>
      <w:r>
        <w:rPr>
          <w:rFonts w:eastAsia="宋体" w:cs="Times New Roman"/>
          <w:sz w:val="24"/>
          <w:szCs w:val="21"/>
        </w:rPr>
        <w:t>（1）完善、改造和维护安全防护设备设施；</w:t>
      </w:r>
    </w:p>
    <w:p>
      <w:pPr>
        <w:spacing w:line="360" w:lineRule="auto"/>
        <w:ind w:firstLine="480" w:firstLineChars="200"/>
        <w:rPr>
          <w:rFonts w:eastAsia="宋体" w:cs="Times New Roman"/>
          <w:sz w:val="24"/>
          <w:szCs w:val="21"/>
        </w:rPr>
      </w:pPr>
      <w:r>
        <w:rPr>
          <w:rFonts w:eastAsia="宋体" w:cs="Times New Roman"/>
          <w:sz w:val="24"/>
          <w:szCs w:val="21"/>
        </w:rPr>
        <w:t>（2）安全生产教育培训和配备劳动防护用品；</w:t>
      </w:r>
    </w:p>
    <w:p>
      <w:pPr>
        <w:spacing w:line="360" w:lineRule="auto"/>
        <w:ind w:firstLine="480" w:firstLineChars="200"/>
        <w:rPr>
          <w:rFonts w:eastAsia="宋体" w:cs="Times New Roman"/>
          <w:sz w:val="24"/>
          <w:szCs w:val="21"/>
        </w:rPr>
      </w:pPr>
      <w:r>
        <w:rPr>
          <w:rFonts w:eastAsia="宋体" w:cs="Times New Roman"/>
          <w:sz w:val="24"/>
          <w:szCs w:val="21"/>
        </w:rPr>
        <w:t>（3）安全评价、重大危险源监控、事故隐患评估和整改；</w:t>
      </w:r>
    </w:p>
    <w:p>
      <w:pPr>
        <w:spacing w:line="360" w:lineRule="auto"/>
        <w:ind w:firstLine="480" w:firstLineChars="200"/>
        <w:rPr>
          <w:rFonts w:eastAsia="宋体" w:cs="Times New Roman"/>
          <w:sz w:val="24"/>
          <w:szCs w:val="21"/>
        </w:rPr>
      </w:pPr>
      <w:r>
        <w:rPr>
          <w:rFonts w:eastAsia="宋体" w:cs="Times New Roman"/>
          <w:sz w:val="24"/>
          <w:szCs w:val="21"/>
        </w:rPr>
        <w:t>（4）设备设施安全性能检测检验；</w:t>
      </w:r>
    </w:p>
    <w:p>
      <w:pPr>
        <w:spacing w:line="360" w:lineRule="auto"/>
        <w:ind w:firstLine="480" w:firstLineChars="200"/>
        <w:rPr>
          <w:rFonts w:eastAsia="宋体" w:cs="Times New Roman"/>
          <w:sz w:val="24"/>
          <w:szCs w:val="21"/>
        </w:rPr>
      </w:pPr>
      <w:r>
        <w:rPr>
          <w:rFonts w:eastAsia="宋体" w:cs="Times New Roman"/>
          <w:sz w:val="24"/>
          <w:szCs w:val="21"/>
        </w:rPr>
        <w:t>（5）应急救援器材、装备的配备及应急救援演练；</w:t>
      </w:r>
    </w:p>
    <w:p>
      <w:pPr>
        <w:spacing w:line="360" w:lineRule="auto"/>
        <w:ind w:firstLine="480" w:firstLineChars="200"/>
        <w:rPr>
          <w:rFonts w:eastAsia="宋体" w:cs="Times New Roman"/>
          <w:sz w:val="24"/>
          <w:szCs w:val="21"/>
        </w:rPr>
      </w:pPr>
      <w:r>
        <w:rPr>
          <w:rFonts w:eastAsia="宋体" w:cs="Times New Roman"/>
          <w:sz w:val="24"/>
          <w:szCs w:val="21"/>
        </w:rPr>
        <w:t>（6）安全标志及标识；</w:t>
      </w:r>
    </w:p>
    <w:p>
      <w:pPr>
        <w:spacing w:line="360" w:lineRule="auto"/>
        <w:ind w:firstLine="480" w:firstLineChars="200"/>
        <w:rPr>
          <w:rFonts w:eastAsia="宋体" w:cs="Times New Roman"/>
          <w:sz w:val="24"/>
          <w:szCs w:val="21"/>
        </w:rPr>
      </w:pPr>
      <w:r>
        <w:rPr>
          <w:rFonts w:eastAsia="宋体" w:cs="Times New Roman"/>
          <w:sz w:val="24"/>
          <w:szCs w:val="21"/>
        </w:rPr>
        <w:t>（7）其他与安全生产直接相关的物品或者活动；</w:t>
      </w:r>
    </w:p>
    <w:p>
      <w:pPr>
        <w:spacing w:line="360" w:lineRule="auto"/>
        <w:ind w:firstLine="480" w:firstLineChars="200"/>
        <w:rPr>
          <w:rFonts w:eastAsia="宋体" w:cs="Times New Roman"/>
          <w:sz w:val="24"/>
          <w:szCs w:val="21"/>
        </w:rPr>
      </w:pPr>
      <w:r>
        <w:rPr>
          <w:rFonts w:eastAsia="宋体" w:cs="Times New Roman"/>
          <w:sz w:val="24"/>
          <w:szCs w:val="21"/>
        </w:rPr>
        <w:t>（8）制定职业危害防治，职业危害因素检测、监测和职业健康体检费用的使用计划。</w:t>
      </w:r>
    </w:p>
    <w:p>
      <w:pPr>
        <w:spacing w:line="360" w:lineRule="auto"/>
        <w:ind w:firstLine="480" w:firstLineChars="200"/>
        <w:rPr>
          <w:rFonts w:eastAsia="宋体" w:cs="Times New Roman"/>
          <w:sz w:val="24"/>
          <w:szCs w:val="21"/>
        </w:rPr>
      </w:pPr>
      <w:r>
        <w:rPr>
          <w:rFonts w:eastAsia="宋体" w:cs="Times New Roman"/>
          <w:sz w:val="24"/>
          <w:szCs w:val="21"/>
        </w:rPr>
        <w:t>4．建立员工工伤保险、安全生产责任保险的管理制度。</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：企业应结合实际，建立《员工工伤保险、安全生产责任保险制度》，制度文件需经初评、评审、主要负责人批准、发布、人员培训和归档，形成有效的制度文件。</w:t>
      </w:r>
    </w:p>
    <w:p>
      <w:pPr>
        <w:spacing w:line="360" w:lineRule="auto"/>
        <w:ind w:firstLine="480" w:firstLineChars="200"/>
        <w:rPr>
          <w:rFonts w:eastAsia="宋体" w:cs="Times New Roman"/>
          <w:sz w:val="24"/>
          <w:szCs w:val="21"/>
        </w:rPr>
      </w:pPr>
      <w:r>
        <w:rPr>
          <w:rFonts w:eastAsia="宋体" w:cs="Times New Roman"/>
          <w:sz w:val="24"/>
          <w:szCs w:val="21"/>
        </w:rPr>
        <w:t>5.足额缴纳工伤保险费、安全生产责任保险费。</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hint="eastAsia" w:eastAsia="宋体" w:cs="Times New Roman"/>
          <w:sz w:val="24"/>
          <w:szCs w:val="21"/>
        </w:rPr>
        <w:t>：根据中华人民共和国《安全生产法》</w:t>
      </w:r>
      <w:r>
        <w:rPr>
          <w:rFonts w:eastAsia="宋体" w:cs="Times New Roman"/>
          <w:sz w:val="24"/>
          <w:szCs w:val="21"/>
        </w:rPr>
        <w:t>第五十一条生产经营单位必须依法参加工伤保险，为从业人员缴纳保险费。</w:t>
      </w:r>
    </w:p>
    <w:p>
      <w:pPr>
        <w:spacing w:line="360" w:lineRule="auto"/>
        <w:ind w:firstLine="480" w:firstLineChars="200"/>
        <w:rPr>
          <w:rFonts w:eastAsia="宋体" w:cs="Times New Roman"/>
          <w:sz w:val="24"/>
          <w:szCs w:val="21"/>
        </w:rPr>
      </w:pPr>
      <w:r>
        <w:rPr>
          <w:rFonts w:eastAsia="宋体" w:cs="Times New Roman"/>
          <w:sz w:val="24"/>
          <w:szCs w:val="21"/>
        </w:rPr>
        <w:t>国家鼓励生产经营单位投保安全生产责任保险；属于国家规定的高危行业、领域的生产经营单位，应当投保安全生产责任保险。</w:t>
      </w:r>
    </w:p>
    <w:p>
      <w:pPr>
        <w:pStyle w:val="2"/>
      </w:pPr>
      <w:r>
        <w:drawing>
          <wp:inline distT="0" distB="0" distL="0" distR="0">
            <wp:extent cx="3888105" cy="18764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4"/>
                    <a:stretch>
                      <a:fillRect/>
                    </a:stretch>
                  </pic:blipFill>
                  <pic:spPr>
                    <a:xfrm>
                      <a:off x="0" y="0"/>
                      <a:ext cx="3888105" cy="1876425"/>
                    </a:xfrm>
                    <a:prstGeom prst="rect">
                      <a:avLst/>
                    </a:prstGeom>
                  </pic:spPr>
                </pic:pic>
              </a:graphicData>
            </a:graphic>
          </wp:inline>
        </w:drawing>
      </w:r>
    </w:p>
    <w:p>
      <w:pPr>
        <w:pStyle w:val="2"/>
        <w:spacing w:line="360" w:lineRule="auto"/>
        <w:ind w:firstLine="420" w:firstLineChars="200"/>
        <w:jc w:val="center"/>
        <w:rPr>
          <w:rFonts w:ascii="宋体" w:hAnsi="宋体"/>
          <w:sz w:val="21"/>
          <w:szCs w:val="21"/>
        </w:rPr>
      </w:pPr>
      <w:r>
        <w:rPr>
          <w:rFonts w:hint="eastAsia" w:ascii="宋体" w:hAnsi="宋体"/>
          <w:sz w:val="21"/>
          <w:szCs w:val="21"/>
        </w:rPr>
        <w:t>图3</w:t>
      </w:r>
      <w:r>
        <w:rPr>
          <w:rFonts w:ascii="宋体" w:hAnsi="宋体"/>
          <w:sz w:val="21"/>
          <w:szCs w:val="21"/>
        </w:rPr>
        <w:t>.1</w:t>
      </w:r>
      <w:r>
        <w:rPr>
          <w:rFonts w:hint="eastAsia" w:ascii="宋体" w:hAnsi="宋体"/>
          <w:sz w:val="21"/>
          <w:szCs w:val="21"/>
        </w:rPr>
        <w:t>-</w:t>
      </w:r>
      <w:r>
        <w:rPr>
          <w:rFonts w:ascii="宋体" w:hAnsi="宋体"/>
          <w:sz w:val="21"/>
          <w:szCs w:val="21"/>
        </w:rPr>
        <w:t>2</w:t>
      </w:r>
      <w:r>
        <w:rPr>
          <w:rFonts w:hint="eastAsia" w:ascii="宋体" w:hAnsi="宋体"/>
          <w:sz w:val="21"/>
          <w:szCs w:val="21"/>
        </w:rPr>
        <w:t>常州市企业安全生产管理信息系统安全生产责任保险</w:t>
      </w:r>
    </w:p>
    <w:p>
      <w:pPr>
        <w:spacing w:line="360" w:lineRule="auto"/>
        <w:ind w:firstLine="480" w:firstLineChars="200"/>
        <w:rPr>
          <w:rFonts w:eastAsia="宋体" w:cs="Times New Roman"/>
          <w:sz w:val="24"/>
          <w:szCs w:val="21"/>
        </w:rPr>
      </w:pPr>
      <w:r>
        <w:rPr>
          <w:rFonts w:eastAsia="宋体" w:cs="Times New Roman"/>
          <w:sz w:val="24"/>
          <w:szCs w:val="21"/>
        </w:rPr>
        <w:t>6.保障死亡、受伤员工获取相应的保险与赔付。</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hint="eastAsia" w:eastAsia="宋体" w:cs="Times New Roman"/>
          <w:sz w:val="24"/>
          <w:szCs w:val="21"/>
        </w:rPr>
        <w:t>：中华人民共和国《安全生产法》</w:t>
      </w:r>
      <w:r>
        <w:rPr>
          <w:rFonts w:eastAsia="宋体" w:cs="Times New Roman"/>
          <w:sz w:val="24"/>
          <w:szCs w:val="21"/>
        </w:rPr>
        <w:t>第五十六条</w:t>
      </w:r>
      <w:r>
        <w:rPr>
          <w:rFonts w:hint="eastAsia" w:eastAsia="宋体" w:cs="Times New Roman"/>
          <w:sz w:val="24"/>
          <w:szCs w:val="21"/>
        </w:rPr>
        <w:t xml:space="preserve"> </w:t>
      </w:r>
      <w:r>
        <w:rPr>
          <w:rFonts w:eastAsia="宋体" w:cs="Times New Roman"/>
          <w:sz w:val="24"/>
          <w:szCs w:val="21"/>
        </w:rPr>
        <w:t>生产经营单位发生生产安全事故后，应当及时采取措施救治有关人员。</w:t>
      </w:r>
    </w:p>
    <w:p>
      <w:pPr>
        <w:spacing w:line="360" w:lineRule="auto"/>
        <w:ind w:firstLine="480" w:firstLineChars="200"/>
        <w:rPr>
          <w:rFonts w:eastAsia="宋体" w:cs="Times New Roman"/>
          <w:sz w:val="24"/>
          <w:szCs w:val="21"/>
        </w:rPr>
      </w:pPr>
      <w:r>
        <w:rPr>
          <w:rFonts w:eastAsia="宋体" w:cs="Times New Roman"/>
          <w:sz w:val="24"/>
          <w:szCs w:val="21"/>
        </w:rPr>
        <w:t>因生产安全事故受到损害的从业人员，除依法享有工伤保险外，依照有关民事法律尚有获得赔偿的权利的，有权提出赔偿要求。</w:t>
      </w:r>
    </w:p>
    <w:p>
      <w:pPr>
        <w:spacing w:line="360" w:lineRule="auto"/>
        <w:ind w:firstLine="480" w:firstLineChars="200"/>
        <w:rPr>
          <w:rFonts w:eastAsia="宋体" w:cs="Times New Roman"/>
          <w:sz w:val="24"/>
          <w:szCs w:val="21"/>
        </w:rPr>
      </w:pPr>
    </w:p>
    <w:p>
      <w:pPr>
        <w:widowControl/>
        <w:jc w:val="left"/>
        <w:rPr>
          <w:rFonts w:eastAsia="黑体" w:cs="Times New Roman"/>
          <w:b/>
          <w:bCs/>
          <w:kern w:val="44"/>
          <w:sz w:val="28"/>
          <w:szCs w:val="44"/>
        </w:rPr>
      </w:pPr>
      <w:r>
        <w:rPr>
          <w:rFonts w:cs="Times New Roman"/>
        </w:rPr>
        <w:br w:type="page"/>
      </w:r>
    </w:p>
    <w:p>
      <w:pPr>
        <w:adjustRightInd w:val="0"/>
        <w:snapToGrid w:val="0"/>
        <w:spacing w:line="360" w:lineRule="auto"/>
        <w:contextualSpacing/>
        <w:jc w:val="center"/>
        <w:outlineLvl w:val="0"/>
        <w:rPr>
          <w:rFonts w:eastAsia="黑体" w:cs="Times New Roman"/>
          <w:sz w:val="28"/>
          <w:szCs w:val="28"/>
        </w:rPr>
      </w:pPr>
      <w:bookmarkStart w:id="7" w:name="_Toc92370384"/>
      <w:bookmarkStart w:id="8" w:name="_Toc93400222"/>
      <w:bookmarkStart w:id="9" w:name="_Toc14552"/>
      <w:r>
        <w:rPr>
          <w:rFonts w:eastAsia="黑体" w:cs="Times New Roman"/>
          <w:sz w:val="28"/>
          <w:szCs w:val="28"/>
        </w:rPr>
        <w:t>第四章 法律法规与安全管理制度</w:t>
      </w:r>
      <w:bookmarkEnd w:id="7"/>
      <w:bookmarkEnd w:id="8"/>
      <w:bookmarkEnd w:id="9"/>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一、法律法规、标准规范</w:t>
      </w:r>
    </w:p>
    <w:p>
      <w:pPr>
        <w:spacing w:line="360" w:lineRule="auto"/>
        <w:ind w:firstLine="480" w:firstLineChars="200"/>
        <w:rPr>
          <w:rFonts w:eastAsia="宋体" w:cs="Times New Roman"/>
          <w:sz w:val="24"/>
          <w:szCs w:val="21"/>
        </w:rPr>
      </w:pPr>
      <w:r>
        <w:rPr>
          <w:rFonts w:eastAsia="宋体" w:cs="Times New Roman"/>
          <w:sz w:val="24"/>
          <w:szCs w:val="21"/>
        </w:rPr>
        <w:t>（一）企业应建立识别和获取适用的安全生产法律法规、标准规范的制度，明确主管部门，确定获取的渠道、方式，及时识别和获取适用的安全生产法律法规、标准规范；</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：企业应结合实际，建立《识别和获取安全生产法律法规、标准管理制度》，制度文件需经初评、评审、主要负责人批准、发布、人员培训和归档，形成有效的</w:t>
      </w:r>
      <w:r>
        <w:rPr>
          <w:rFonts w:hint="eastAsia" w:eastAsia="宋体" w:cs="Times New Roman"/>
          <w:sz w:val="24"/>
          <w:szCs w:val="21"/>
        </w:rPr>
        <w:t>制</w:t>
      </w:r>
      <w:r>
        <w:rPr>
          <w:rFonts w:eastAsia="宋体" w:cs="Times New Roman"/>
          <w:sz w:val="24"/>
          <w:szCs w:val="21"/>
        </w:rPr>
        <w:t>度文件。</w:t>
      </w:r>
    </w:p>
    <w:p>
      <w:pPr>
        <w:spacing w:line="360" w:lineRule="auto"/>
        <w:ind w:firstLine="480" w:firstLineChars="200"/>
        <w:rPr>
          <w:rFonts w:eastAsia="宋体" w:cs="Times New Roman"/>
          <w:sz w:val="24"/>
          <w:szCs w:val="21"/>
        </w:rPr>
      </w:pPr>
      <w:r>
        <w:rPr>
          <w:rFonts w:eastAsia="宋体" w:cs="Times New Roman"/>
          <w:sz w:val="24"/>
          <w:szCs w:val="21"/>
        </w:rPr>
        <w:t>（二）企业各职能部门应及时识别和获取本部门适用的安全生产法律法规、标准规范，并跟踪、掌握有关法律法规、标准规范的修订情况，及时提供给企业内负责识别和获取适用的安全生产法律法规的主管部门汇总；</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w:t>
      </w:r>
      <w:r>
        <w:rPr>
          <w:rFonts w:hint="eastAsia" w:eastAsia="宋体" w:cs="Times New Roman"/>
          <w:sz w:val="24"/>
          <w:szCs w:val="21"/>
        </w:rPr>
        <w:t>各职能部门可通过全国标准信息公共服务平台（</w:t>
      </w:r>
      <w:r>
        <w:rPr>
          <w:rFonts w:eastAsia="宋体" w:cs="Times New Roman"/>
          <w:sz w:val="24"/>
          <w:szCs w:val="21"/>
        </w:rPr>
        <w:t>http://openstd.samr.gov.cn/bzgk/gb/index</w:t>
      </w:r>
      <w:r>
        <w:rPr>
          <w:rFonts w:hint="eastAsia" w:eastAsia="宋体" w:cs="Times New Roman"/>
          <w:sz w:val="24"/>
          <w:szCs w:val="21"/>
        </w:rPr>
        <w:t>）、国家应急管理部（</w:t>
      </w:r>
      <w:r>
        <w:rPr>
          <w:rFonts w:eastAsia="宋体" w:cs="Times New Roman"/>
          <w:sz w:val="24"/>
          <w:szCs w:val="21"/>
        </w:rPr>
        <w:t>https://www.mem.gov.cn/</w:t>
      </w:r>
      <w:r>
        <w:rPr>
          <w:rFonts w:hint="eastAsia" w:eastAsia="宋体" w:cs="Times New Roman"/>
          <w:sz w:val="24"/>
          <w:szCs w:val="21"/>
        </w:rPr>
        <w:t>）、常州市企业安全生产管理信息系统（</w:t>
      </w:r>
      <w:r>
        <w:rPr>
          <w:sz w:val="24"/>
          <w:szCs w:val="21"/>
        </w:rPr>
        <w:t>http://www.jsczyj.cn/#/login/ent</w:t>
      </w:r>
      <w:r>
        <w:rPr>
          <w:rFonts w:hint="eastAsia" w:eastAsia="宋体" w:cs="Times New Roman"/>
          <w:sz w:val="24"/>
          <w:szCs w:val="21"/>
        </w:rPr>
        <w:t>）等相关网站获取最新的法律法规、标准规范等。具体见图</w:t>
      </w:r>
    </w:p>
    <w:p>
      <w:pPr>
        <w:spacing w:line="360" w:lineRule="auto"/>
        <w:ind w:firstLine="480" w:firstLineChars="200"/>
        <w:rPr>
          <w:rFonts w:eastAsia="宋体" w:cs="Times New Roman"/>
          <w:sz w:val="24"/>
          <w:szCs w:val="21"/>
        </w:rPr>
      </w:pPr>
      <w:r>
        <w:rPr>
          <w:rFonts w:eastAsia="宋体" w:cs="Times New Roman"/>
          <w:sz w:val="24"/>
          <w:szCs w:val="21"/>
        </w:rPr>
        <w:t>各职能部门应定期识别和获取本部门适用的安全生产法律法规与其他要求，并向归口部门汇总。</w:t>
      </w:r>
    </w:p>
    <w:p>
      <w:pPr>
        <w:pStyle w:val="2"/>
      </w:pPr>
      <w:r>
        <w:drawing>
          <wp:inline distT="0" distB="0" distL="0" distR="0">
            <wp:extent cx="3888105" cy="22352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5"/>
                    <a:stretch>
                      <a:fillRect/>
                    </a:stretch>
                  </pic:blipFill>
                  <pic:spPr>
                    <a:xfrm>
                      <a:off x="0" y="0"/>
                      <a:ext cx="3888105" cy="2235200"/>
                    </a:xfrm>
                    <a:prstGeom prst="rect">
                      <a:avLst/>
                    </a:prstGeom>
                  </pic:spPr>
                </pic:pic>
              </a:graphicData>
            </a:graphic>
          </wp:inline>
        </w:drawing>
      </w:r>
    </w:p>
    <w:p>
      <w:pPr>
        <w:pStyle w:val="2"/>
        <w:jc w:val="center"/>
        <w:rPr>
          <w:rFonts w:ascii="宋体" w:hAnsi="宋体"/>
          <w:sz w:val="21"/>
        </w:rPr>
      </w:pPr>
      <w:r>
        <w:rPr>
          <w:rFonts w:hint="eastAsia" w:ascii="宋体" w:hAnsi="宋体"/>
          <w:sz w:val="21"/>
        </w:rPr>
        <w:t>图4</w:t>
      </w:r>
      <w:r>
        <w:rPr>
          <w:rFonts w:ascii="宋体" w:hAnsi="宋体"/>
          <w:sz w:val="21"/>
        </w:rPr>
        <w:t>.1</w:t>
      </w:r>
      <w:r>
        <w:rPr>
          <w:rFonts w:hint="eastAsia" w:ascii="宋体" w:hAnsi="宋体"/>
          <w:sz w:val="21"/>
        </w:rPr>
        <w:t>-</w:t>
      </w:r>
      <w:r>
        <w:rPr>
          <w:rFonts w:ascii="宋体" w:hAnsi="宋体"/>
          <w:sz w:val="21"/>
        </w:rPr>
        <w:t xml:space="preserve">2 </w:t>
      </w:r>
      <w:r>
        <w:rPr>
          <w:rFonts w:hint="eastAsia" w:ascii="宋体" w:hAnsi="宋体"/>
          <w:sz w:val="21"/>
        </w:rPr>
        <w:t>全国标准信息公共服务平台</w:t>
      </w:r>
    </w:p>
    <w:p>
      <w:pPr>
        <w:pStyle w:val="2"/>
      </w:pPr>
    </w:p>
    <w:p>
      <w:pPr>
        <w:pStyle w:val="2"/>
      </w:pPr>
      <w:r>
        <w:drawing>
          <wp:inline distT="0" distB="0" distL="0" distR="0">
            <wp:extent cx="3888105" cy="2606040"/>
            <wp:effectExtent l="0" t="0" r="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6"/>
                    <a:stretch>
                      <a:fillRect/>
                    </a:stretch>
                  </pic:blipFill>
                  <pic:spPr>
                    <a:xfrm>
                      <a:off x="0" y="0"/>
                      <a:ext cx="3891683" cy="2608798"/>
                    </a:xfrm>
                    <a:prstGeom prst="rect">
                      <a:avLst/>
                    </a:prstGeom>
                  </pic:spPr>
                </pic:pic>
              </a:graphicData>
            </a:graphic>
          </wp:inline>
        </w:drawing>
      </w:r>
    </w:p>
    <w:p>
      <w:pPr>
        <w:pStyle w:val="2"/>
        <w:jc w:val="center"/>
        <w:rPr>
          <w:rFonts w:ascii="宋体" w:hAnsi="宋体"/>
          <w:sz w:val="21"/>
        </w:rPr>
      </w:pPr>
      <w:r>
        <w:rPr>
          <w:rFonts w:hint="eastAsia" w:ascii="宋体" w:hAnsi="宋体"/>
          <w:sz w:val="21"/>
        </w:rPr>
        <w:t>图4</w:t>
      </w:r>
      <w:r>
        <w:rPr>
          <w:rFonts w:ascii="宋体" w:hAnsi="宋体"/>
          <w:sz w:val="21"/>
        </w:rPr>
        <w:t>.1</w:t>
      </w:r>
      <w:r>
        <w:rPr>
          <w:rFonts w:hint="eastAsia" w:ascii="宋体" w:hAnsi="宋体"/>
          <w:sz w:val="21"/>
        </w:rPr>
        <w:t>-</w:t>
      </w:r>
      <w:r>
        <w:rPr>
          <w:rFonts w:ascii="宋体" w:hAnsi="宋体"/>
          <w:sz w:val="21"/>
        </w:rPr>
        <w:t xml:space="preserve">2 </w:t>
      </w:r>
      <w:r>
        <w:rPr>
          <w:rFonts w:hint="eastAsia" w:ascii="宋体" w:hAnsi="宋体"/>
          <w:sz w:val="21"/>
        </w:rPr>
        <w:t>应急管理部网站法律法规、标准模块</w:t>
      </w:r>
    </w:p>
    <w:p>
      <w:pPr>
        <w:pStyle w:val="2"/>
      </w:pPr>
      <w:r>
        <w:drawing>
          <wp:inline distT="0" distB="0" distL="0" distR="0">
            <wp:extent cx="3888105" cy="2239010"/>
            <wp:effectExtent l="0" t="0" r="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7"/>
                    <a:stretch>
                      <a:fillRect/>
                    </a:stretch>
                  </pic:blipFill>
                  <pic:spPr>
                    <a:xfrm>
                      <a:off x="0" y="0"/>
                      <a:ext cx="3902001" cy="2247203"/>
                    </a:xfrm>
                    <a:prstGeom prst="rect">
                      <a:avLst/>
                    </a:prstGeom>
                  </pic:spPr>
                </pic:pic>
              </a:graphicData>
            </a:graphic>
          </wp:inline>
        </w:drawing>
      </w:r>
    </w:p>
    <w:p>
      <w:pPr>
        <w:pStyle w:val="2"/>
        <w:jc w:val="center"/>
        <w:rPr>
          <w:rFonts w:ascii="宋体" w:hAnsi="宋体"/>
          <w:sz w:val="21"/>
        </w:rPr>
      </w:pPr>
      <w:r>
        <w:rPr>
          <w:rFonts w:hint="eastAsia" w:ascii="宋体" w:hAnsi="宋体"/>
          <w:sz w:val="21"/>
        </w:rPr>
        <w:t>图4</w:t>
      </w:r>
      <w:r>
        <w:rPr>
          <w:rFonts w:ascii="宋体" w:hAnsi="宋体"/>
          <w:sz w:val="21"/>
        </w:rPr>
        <w:t>.1</w:t>
      </w:r>
      <w:r>
        <w:rPr>
          <w:rFonts w:hint="eastAsia" w:ascii="宋体" w:hAnsi="宋体"/>
          <w:sz w:val="21"/>
        </w:rPr>
        <w:t>-</w:t>
      </w:r>
      <w:r>
        <w:rPr>
          <w:rFonts w:ascii="宋体" w:hAnsi="宋体"/>
          <w:sz w:val="21"/>
        </w:rPr>
        <w:t xml:space="preserve">2 </w:t>
      </w:r>
      <w:r>
        <w:rPr>
          <w:rFonts w:hint="eastAsia" w:ascii="宋体" w:hAnsi="宋体"/>
          <w:sz w:val="21"/>
        </w:rPr>
        <w:t>常州市企业安全生产管理信息系统法律法规、标准模块</w:t>
      </w:r>
    </w:p>
    <w:p>
      <w:pPr>
        <w:spacing w:line="360" w:lineRule="auto"/>
        <w:ind w:firstLine="480" w:firstLineChars="200"/>
        <w:rPr>
          <w:rFonts w:eastAsia="宋体" w:cs="Times New Roman"/>
          <w:sz w:val="24"/>
          <w:szCs w:val="21"/>
        </w:rPr>
      </w:pPr>
      <w:r>
        <w:rPr>
          <w:rFonts w:eastAsia="宋体" w:cs="Times New Roman"/>
          <w:sz w:val="24"/>
          <w:szCs w:val="21"/>
        </w:rPr>
        <w:t>（三）企业应将适用的安全生产法律法规、标准规范及其他要求及时传达给从业人员；</w:t>
      </w:r>
    </w:p>
    <w:p>
      <w:pPr>
        <w:spacing w:line="360" w:lineRule="auto"/>
        <w:ind w:firstLine="480" w:firstLineChars="200"/>
        <w:rPr>
          <w:rFonts w:eastAsia="宋体" w:cs="Times New Roman"/>
          <w:sz w:val="24"/>
          <w:szCs w:val="21"/>
        </w:rPr>
      </w:pPr>
      <w:r>
        <w:rPr>
          <w:rFonts w:eastAsia="宋体" w:cs="Times New Roman"/>
          <w:sz w:val="24"/>
          <w:szCs w:val="21"/>
        </w:rPr>
        <w:t>1.定期识别和获取使用的安全生产法律法规与其他要求，并发布清单。</w:t>
      </w:r>
      <w:r>
        <w:rPr>
          <w:rFonts w:hint="eastAsia" w:eastAsia="宋体" w:cs="Times New Roman"/>
          <w:sz w:val="24"/>
          <w:szCs w:val="21"/>
        </w:rPr>
        <w:t>见表4</w:t>
      </w:r>
      <w:r>
        <w:rPr>
          <w:rFonts w:eastAsia="宋体" w:cs="Times New Roman"/>
          <w:sz w:val="24"/>
          <w:szCs w:val="21"/>
        </w:rPr>
        <w:t>.1</w:t>
      </w:r>
      <w:r>
        <w:rPr>
          <w:rFonts w:hint="eastAsia" w:eastAsia="宋体" w:cs="Times New Roman"/>
          <w:sz w:val="24"/>
          <w:szCs w:val="21"/>
        </w:rPr>
        <w:t>-</w:t>
      </w:r>
      <w:r>
        <w:rPr>
          <w:rFonts w:eastAsia="宋体" w:cs="Times New Roman"/>
          <w:sz w:val="24"/>
          <w:szCs w:val="21"/>
        </w:rPr>
        <w:t>3</w:t>
      </w:r>
    </w:p>
    <w:p>
      <w:pPr>
        <w:spacing w:after="120"/>
        <w:jc w:val="center"/>
        <w:rPr>
          <w:rFonts w:eastAsia="宋体" w:cs="Times New Roman"/>
          <w:sz w:val="28"/>
          <w:szCs w:val="20"/>
        </w:rPr>
      </w:pPr>
    </w:p>
    <w:p>
      <w:pPr>
        <w:pStyle w:val="2"/>
      </w:pPr>
    </w:p>
    <w:p>
      <w:pPr>
        <w:pStyle w:val="2"/>
      </w:pPr>
    </w:p>
    <w:p>
      <w:pPr>
        <w:pStyle w:val="2"/>
        <w:jc w:val="center"/>
        <w:rPr>
          <w:rFonts w:ascii="宋体" w:hAnsi="宋体"/>
          <w:sz w:val="21"/>
        </w:rPr>
      </w:pPr>
    </w:p>
    <w:p>
      <w:pPr>
        <w:pStyle w:val="2"/>
        <w:jc w:val="center"/>
        <w:rPr>
          <w:rFonts w:ascii="宋体" w:hAnsi="宋体"/>
          <w:sz w:val="21"/>
        </w:rPr>
      </w:pPr>
    </w:p>
    <w:p>
      <w:pPr>
        <w:pStyle w:val="2"/>
        <w:jc w:val="center"/>
        <w:rPr>
          <w:rFonts w:ascii="宋体" w:hAnsi="宋体"/>
          <w:sz w:val="21"/>
        </w:rPr>
      </w:pPr>
    </w:p>
    <w:p>
      <w:pPr>
        <w:pStyle w:val="2"/>
        <w:jc w:val="center"/>
        <w:rPr>
          <w:rFonts w:ascii="宋体" w:hAnsi="宋体"/>
          <w:sz w:val="21"/>
        </w:rPr>
      </w:pPr>
    </w:p>
    <w:p>
      <w:pPr>
        <w:pStyle w:val="2"/>
        <w:jc w:val="center"/>
        <w:rPr>
          <w:rFonts w:ascii="宋体" w:hAnsi="宋体"/>
          <w:sz w:val="21"/>
        </w:rPr>
      </w:pPr>
    </w:p>
    <w:p>
      <w:pPr>
        <w:pStyle w:val="2"/>
        <w:jc w:val="center"/>
        <w:rPr>
          <w:rFonts w:ascii="宋体" w:hAnsi="宋体"/>
          <w:sz w:val="21"/>
        </w:rPr>
      </w:pPr>
      <w:r>
        <w:rPr>
          <w:rFonts w:hint="eastAsia" w:ascii="宋体" w:hAnsi="宋体"/>
          <w:sz w:val="21"/>
        </w:rPr>
        <w:t>4</w:t>
      </w:r>
      <w:r>
        <w:rPr>
          <w:rFonts w:ascii="宋体" w:hAnsi="宋体"/>
          <w:sz w:val="21"/>
        </w:rPr>
        <w:t>.1</w:t>
      </w:r>
      <w:r>
        <w:rPr>
          <w:rFonts w:hint="eastAsia" w:ascii="宋体" w:hAnsi="宋体"/>
          <w:sz w:val="21"/>
        </w:rPr>
        <w:t>-</w:t>
      </w:r>
      <w:r>
        <w:rPr>
          <w:rFonts w:ascii="宋体" w:hAnsi="宋体"/>
          <w:sz w:val="21"/>
        </w:rPr>
        <w:t xml:space="preserve">3 </w:t>
      </w:r>
      <w:r>
        <w:rPr>
          <w:rFonts w:hint="eastAsia" w:ascii="宋体" w:hAnsi="宋体"/>
          <w:sz w:val="21"/>
        </w:rPr>
        <w:t>法律法规清单 示例</w:t>
      </w:r>
    </w:p>
    <w:p>
      <w:pPr>
        <w:spacing w:after="120"/>
        <w:jc w:val="center"/>
        <w:rPr>
          <w:rFonts w:eastAsia="宋体" w:cs="Times New Roman"/>
          <w:sz w:val="28"/>
          <w:szCs w:val="20"/>
        </w:rPr>
      </w:pPr>
      <w:r>
        <w:rPr>
          <w:rFonts w:eastAsia="宋体" w:cs="Times New Roman"/>
          <w:sz w:val="28"/>
          <w:szCs w:val="20"/>
        </w:rPr>
        <w:drawing>
          <wp:inline distT="0" distB="0" distL="0" distR="0">
            <wp:extent cx="3620135" cy="2259330"/>
            <wp:effectExtent l="0" t="0" r="0" b="7620"/>
            <wp:docPr id="15424" name="图片 1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 name="图片 15424"/>
                    <pic:cNvPicPr>
                      <a:picLocks noChangeAspect="1"/>
                    </pic:cNvPicPr>
                  </pic:nvPicPr>
                  <pic:blipFill>
                    <a:blip r:embed="rId28"/>
                    <a:srcRect t="5708"/>
                    <a:stretch>
                      <a:fillRect/>
                    </a:stretch>
                  </pic:blipFill>
                  <pic:spPr>
                    <a:xfrm>
                      <a:off x="0" y="0"/>
                      <a:ext cx="3656315" cy="2282047"/>
                    </a:xfrm>
                    <a:prstGeom prst="rect">
                      <a:avLst/>
                    </a:prstGeom>
                    <a:ln>
                      <a:noFill/>
                    </a:ln>
                  </pic:spPr>
                </pic:pic>
              </a:graphicData>
            </a:graphic>
          </wp:inline>
        </w:drawing>
      </w:r>
    </w:p>
    <w:p>
      <w:pPr>
        <w:spacing w:line="360" w:lineRule="auto"/>
        <w:ind w:firstLine="480" w:firstLineChars="200"/>
        <w:rPr>
          <w:rFonts w:eastAsia="宋体" w:cs="Times New Roman"/>
          <w:sz w:val="24"/>
          <w:szCs w:val="21"/>
        </w:rPr>
      </w:pPr>
      <w:r>
        <w:rPr>
          <w:rFonts w:eastAsia="宋体" w:cs="Times New Roman"/>
          <w:sz w:val="24"/>
          <w:szCs w:val="21"/>
        </w:rPr>
        <w:t>2.及时将适用的安全生产法律法规与其他要求传达给从业人员，并进行相关培训和考核。</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：经法律法规合规性评估，适用的安全生产法律法规与其他要求，通过书面传达给从业人员，并进行相关的培训和考核。</w:t>
      </w:r>
    </w:p>
    <w:p>
      <w:pPr>
        <w:spacing w:line="360" w:lineRule="auto"/>
        <w:ind w:firstLine="480" w:firstLineChars="200"/>
        <w:rPr>
          <w:rFonts w:eastAsia="宋体" w:cs="Times New Roman"/>
          <w:sz w:val="24"/>
          <w:szCs w:val="21"/>
        </w:rPr>
      </w:pPr>
      <w:r>
        <w:rPr>
          <w:rFonts w:eastAsia="宋体" w:cs="Times New Roman"/>
          <w:sz w:val="24"/>
          <w:szCs w:val="21"/>
        </w:rPr>
        <w:t>（四）企业应遵守安全生产法律法规、标准规范，并将相关要求及时转化为本单位的规章制度，贯彻到各项工作中。</w:t>
      </w:r>
    </w:p>
    <w:p>
      <w:pPr>
        <w:adjustRightInd w:val="0"/>
        <w:snapToGrid w:val="0"/>
        <w:spacing w:before="120" w:beforeLines="50" w:after="120" w:afterLines="50"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二、规章制度</w:t>
      </w:r>
    </w:p>
    <w:p>
      <w:pPr>
        <w:spacing w:line="360" w:lineRule="auto"/>
        <w:ind w:firstLine="480" w:firstLineChars="200"/>
        <w:rPr>
          <w:rFonts w:eastAsia="宋体" w:cs="Times New Roman"/>
          <w:sz w:val="24"/>
          <w:szCs w:val="21"/>
        </w:rPr>
      </w:pPr>
      <w:r>
        <w:rPr>
          <w:rFonts w:eastAsia="宋体" w:cs="Times New Roman"/>
          <w:sz w:val="24"/>
          <w:szCs w:val="21"/>
        </w:rPr>
        <w:t>企业应建立健全安全生产规章制度，并发放到相关工作岗位，规范从业人员的生产作业行为。安全生产规章制度至少应包含下列内容：安全生产职责、安全生产投入、文件和档案管理、隐患排查与治理、安全教育培训、特种作业人员管理、设备设施安全管理、建设项目安全设施“三同时”管理、生产设备设施验收管理、生产设备设施报废管理、施工和检维修安全管理、危险物品及重大危险源管理、作业安全管理相关方及外用工管理，职业健康管理、防护用品管理，应急管理，事故管理等；</w:t>
      </w:r>
    </w:p>
    <w:p>
      <w:pPr>
        <w:spacing w:line="360" w:lineRule="auto"/>
        <w:ind w:firstLine="480" w:firstLineChars="200"/>
        <w:rPr>
          <w:rFonts w:eastAsia="宋体" w:cs="Times New Roman"/>
          <w:sz w:val="24"/>
          <w:szCs w:val="21"/>
        </w:rPr>
      </w:pPr>
      <w:r>
        <w:rPr>
          <w:rFonts w:eastAsia="宋体" w:cs="Times New Roman"/>
          <w:sz w:val="24"/>
          <w:szCs w:val="21"/>
        </w:rPr>
        <w:t>1.建立规章制度的管理制度，确保安全生产规章制度和操作规程编制、发布、使用、评审、修订等效力。</w:t>
      </w:r>
    </w:p>
    <w:p>
      <w:pPr>
        <w:spacing w:line="360" w:lineRule="auto"/>
        <w:ind w:firstLine="480" w:firstLineChars="200"/>
        <w:rPr>
          <w:rFonts w:eastAsia="宋体" w:cs="Times New Roman"/>
          <w:sz w:val="24"/>
          <w:szCs w:val="21"/>
        </w:rPr>
      </w:pPr>
      <w:r>
        <w:rPr>
          <w:rFonts w:eastAsia="宋体" w:cs="Times New Roman"/>
          <w:sz w:val="24"/>
          <w:szCs w:val="21"/>
        </w:rPr>
        <w:t>2.至少包含下列内容：安全目标管理、安全生产责任制管理、法律法规标准规范管理、领导现场带班、班组岗位达标、安全生产投入管理、文件和档案管理、风险评估和控制管理、安全教育培训管理、特种作业人员管理、设备设施安全管理、建设项目安全设施“三同时”管理、生产设备设施验收管理、生产设备设施报废管理、施工和检（维）修安全管理、危险物品及重大危险源管理、作业安全管理、相关方及外用工（单位）管理、职业健康管理、劳动防护用品（具）和保健品管理、安全检查及隐患治理、应急管理、事故管理、安全绩效评定管理、消防安全管理等。</w:t>
      </w:r>
    </w:p>
    <w:p>
      <w:pPr>
        <w:spacing w:line="360" w:lineRule="auto"/>
        <w:ind w:firstLine="480" w:firstLineChars="200"/>
        <w:rPr>
          <w:rFonts w:eastAsia="宋体" w:cs="Times New Roman"/>
          <w:sz w:val="24"/>
          <w:szCs w:val="21"/>
        </w:rPr>
      </w:pPr>
      <w:r>
        <w:rPr>
          <w:rFonts w:eastAsia="宋体" w:cs="Times New Roman"/>
          <w:sz w:val="24"/>
          <w:szCs w:val="21"/>
        </w:rPr>
        <w:t>3.将安全生产规章制度发放到相关工作岗位，并对员工进行培训和考核。</w:t>
      </w:r>
    </w:p>
    <w:p>
      <w:pPr>
        <w:spacing w:after="120"/>
        <w:jc w:val="center"/>
        <w:rPr>
          <w:rFonts w:ascii="宋体" w:hAnsi="宋体" w:eastAsia="宋体" w:cs="Times New Roman"/>
          <w:bCs/>
          <w:sz w:val="21"/>
          <w:szCs w:val="20"/>
        </w:rPr>
      </w:pPr>
      <w:r>
        <w:rPr>
          <w:rFonts w:hint="eastAsia" w:ascii="宋体" w:hAnsi="宋体" w:eastAsia="宋体" w:cs="Times New Roman"/>
          <w:bCs/>
          <w:sz w:val="21"/>
          <w:szCs w:val="20"/>
        </w:rPr>
        <w:t>表4</w:t>
      </w:r>
      <w:r>
        <w:rPr>
          <w:rFonts w:ascii="宋体" w:hAnsi="宋体" w:eastAsia="宋体" w:cs="Times New Roman"/>
          <w:bCs/>
          <w:sz w:val="21"/>
          <w:szCs w:val="20"/>
        </w:rPr>
        <w:t>.2 达标企业安全管理制度</w:t>
      </w:r>
      <w:r>
        <w:rPr>
          <w:rFonts w:hint="eastAsia" w:ascii="宋体" w:hAnsi="宋体" w:eastAsia="宋体" w:cs="Times New Roman"/>
          <w:bCs/>
          <w:sz w:val="21"/>
          <w:szCs w:val="20"/>
        </w:rPr>
        <w:t>（参考）</w:t>
      </w:r>
    </w:p>
    <w:tbl>
      <w:tblPr>
        <w:tblStyle w:val="16"/>
        <w:tblW w:w="59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4"/>
        <w:gridCol w:w="4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1404" w:type="dxa"/>
            <w:vAlign w:val="center"/>
          </w:tcPr>
          <w:p>
            <w:pPr>
              <w:spacing w:line="240" w:lineRule="exact"/>
              <w:jc w:val="center"/>
              <w:rPr>
                <w:rFonts w:ascii="宋体" w:hAnsi="宋体" w:eastAsia="宋体" w:cs="Times New Roman"/>
                <w:b/>
                <w:kern w:val="28"/>
                <w:sz w:val="21"/>
                <w:szCs w:val="21"/>
              </w:rPr>
            </w:pPr>
            <w:r>
              <w:rPr>
                <w:rFonts w:ascii="宋体" w:hAnsi="宋体" w:eastAsia="宋体" w:cs="Times New Roman"/>
                <w:b/>
                <w:kern w:val="28"/>
                <w:sz w:val="21"/>
                <w:szCs w:val="21"/>
              </w:rPr>
              <w:t>要 素</w:t>
            </w:r>
          </w:p>
        </w:tc>
        <w:tc>
          <w:tcPr>
            <w:tcW w:w="4558" w:type="dxa"/>
            <w:vAlign w:val="center"/>
          </w:tcPr>
          <w:p>
            <w:pPr>
              <w:spacing w:line="240" w:lineRule="exact"/>
              <w:jc w:val="center"/>
              <w:rPr>
                <w:rFonts w:ascii="宋体" w:hAnsi="宋体" w:eastAsia="宋体" w:cs="Times New Roman"/>
                <w:b/>
                <w:kern w:val="28"/>
                <w:sz w:val="21"/>
                <w:szCs w:val="21"/>
              </w:rPr>
            </w:pPr>
            <w:r>
              <w:rPr>
                <w:rFonts w:ascii="宋体" w:hAnsi="宋体" w:eastAsia="宋体" w:cs="Times New Roman"/>
                <w:b/>
                <w:kern w:val="28"/>
                <w:sz w:val="21"/>
                <w:szCs w:val="21"/>
              </w:rPr>
              <w:t>制 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1、目标</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安全生产目标、指标管理制度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安全生产方针和年度安全目标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安全生产目标分解表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安全生产目标实施计划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安全目标定期考核规定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安全目标实施考核计划表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安全生产目标实施情况检查记录表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安全目标考核表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安全生产目标完成效果评估报告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2、组织机构和职责</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设置安全管理机构、配备安全管理人员管理制度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关于成立安全管理委员会的通知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关于设置安全管理机构及任命专职安全管理人员的通知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关于设置职业卫生管理机构及任命专职安全管理人员的通知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安全生产组织机构图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安全承诺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安全生产责任制管理制度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安全生产责任制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安全生产责任制考核记录表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安全生产责任制制定、评审、修订修订表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安全生产会议管理制度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安全生产会议记录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3、安全生产投入</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安全生产费用提取和使用管理制度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安全生产费用使用计划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安全生产费用使用登记表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企业安全费用提取、使用、结余表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安全生产费用提取和使用管理制度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员工工伤保险缴费清单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4、法律法规与安全管理制度</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识别和获取安全生产法律法规、标准管理制度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适用的法律法规清单及适宜性评审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法律法规符合性评价报告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安全生产规章制度管理制度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安全生产规章制度清单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文件发放与回收记录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岗位达标管理制度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岗位个人达标要求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岗位达标考核表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岗位安全操作规程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文件评审与修订管理制度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文件更改审批表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文件评审和修订记录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文件和档案管理制度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文件归档登记表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文件的发放与回收表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外来文件登记表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5、教育培训</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安全教育培训管理制度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安全培训计划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员工培训需求申请表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安全生产培训记录档案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员工三级培训教育记录卡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培训效果评价表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员工安全教育档案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企业负责人、安全管理员资格证书登记表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转岗、复工安全教育培训记录表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相关方及外来人员安全培训教育记录表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特种作业人员培训、考核、持证登记表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安全文化建设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6、生产设备设施</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新、改、扩建工程“三同时”管理制度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建设项目安全生产三同时目录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生产设施安全管理制度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设备设施安全管理计划表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设备设施检查隐患记录表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生产设施台账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生产设备点检记录表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特种设备管理制度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特种设备台账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特种设备运行故障和事故记录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安全设施管理制度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安全设施台账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安全设施保养维护记录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生产设备设施验收管理制度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生产设备设施验收记录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生产设备实施拆除、报废管理制度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生产设备设施拆除、报废申请表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7、作业安全</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 xml:space="preserve"> “三违行为”管理制度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 xml:space="preserve"> “三违行为”检查情况记录表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危险作业安全管理制度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动火安全作业证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受限空间安全作业证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盲板抽堵安全作业证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高处安全作业证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吊装安全作业证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断路安全作业证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动土安全作业证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临时用电安全作业证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设备检修安全作业证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要害岗位、电气、机械操作牌管理制度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要害岗位、电气、机械操作牌操作牌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劳动防护用品管理制度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劳保用品发放标准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劳动防护用品发放记录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警示标志和安全防护管理制度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安全警示标志登记表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承包商、供应商等相关方管理制度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安全生产管理协议书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承包商资格审查表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承包商评价记录表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合格承包商登记表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承包商现场安全检查记录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承包商作业前风险分析记录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供应商资格审查表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合格供应商登记表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供应商考核记录表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变更管理制度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变更申请表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变更验收表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8、隐患排查治理管理制度</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隐患排查治理管理制度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安全生产隐患排查工作方案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隐患治理通知书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隐患登记表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重大隐患评估报告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隐患治理项目验收报告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综合性（公司级）安全检查表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综合性（车间级）安全检查表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综合性（日常）安全检查表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季节性安全检查表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节假日安全检查表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电气装置检查表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机械设备检查表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仓库日常安全检查表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配电室日常安全检查表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9、重大危险源监控</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危险源辨识、风险控制管理制度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危险源辨识表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危险源监控措施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危险源检查表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危险化学品安全管理制度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危险化学品一览表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10、职业健康</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职业卫生管理制度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关于设立职业卫生管理机构的通知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工作场所职业危害因素监测一览表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职业卫生体检登记表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职业卫生防护设施台账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劳动者个人职业健康监护档案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职业病危害警示与告知制度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职业病危害因素告知书（劳动合同补充约定）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职业病危害因素检测结果公告栏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职业病危害项目申报制度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11、应急救援</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事故应急救援管理制度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关于成立应急管理领导小组的通知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应急救援预案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应急救援预案评审修订记录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应急防护救护器材台帐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应急救援器材、消防设施及器材检查维护记录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应急救援预案演练方案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应急救援预案演练效果评价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12、事故报告、调查和处理</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事故管理制度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事故报告单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安全生产事故登记表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事件调查处理报告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事故公告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restart"/>
            <w:vAlign w:val="center"/>
          </w:tcPr>
          <w:p>
            <w:pPr>
              <w:spacing w:line="240" w:lineRule="exact"/>
              <w:jc w:val="center"/>
              <w:rPr>
                <w:rFonts w:ascii="宋体" w:hAnsi="宋体" w:eastAsia="宋体" w:cs="Times New Roman"/>
                <w:kern w:val="28"/>
                <w:sz w:val="21"/>
                <w:szCs w:val="21"/>
              </w:rPr>
            </w:pPr>
            <w:r>
              <w:rPr>
                <w:rFonts w:ascii="宋体" w:hAnsi="宋体" w:eastAsia="宋体" w:cs="Times New Roman"/>
                <w:kern w:val="28"/>
                <w:sz w:val="21"/>
                <w:szCs w:val="21"/>
              </w:rPr>
              <w:t>13、绩效评定和持续改进</w:t>
            </w: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安全生产标准化绩效评定管理制度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评审材料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04" w:type="dxa"/>
            <w:vMerge w:val="continue"/>
            <w:vAlign w:val="center"/>
          </w:tcPr>
          <w:p>
            <w:pPr>
              <w:spacing w:line="240" w:lineRule="exact"/>
              <w:jc w:val="center"/>
              <w:rPr>
                <w:rFonts w:ascii="宋体" w:hAnsi="宋体" w:eastAsia="宋体" w:cs="Times New Roman"/>
                <w:kern w:val="28"/>
                <w:sz w:val="21"/>
                <w:szCs w:val="21"/>
              </w:rPr>
            </w:pPr>
          </w:p>
        </w:tc>
        <w:tc>
          <w:tcPr>
            <w:tcW w:w="4558" w:type="dxa"/>
            <w:vAlign w:val="center"/>
          </w:tcPr>
          <w:p>
            <w:pPr>
              <w:spacing w:line="240" w:lineRule="exact"/>
              <w:rPr>
                <w:rFonts w:ascii="宋体" w:hAnsi="宋体" w:eastAsia="宋体" w:cs="Times New Roman"/>
                <w:kern w:val="28"/>
                <w:sz w:val="21"/>
                <w:szCs w:val="21"/>
              </w:rPr>
            </w:pPr>
            <w:r>
              <w:rPr>
                <w:rFonts w:ascii="宋体" w:hAnsi="宋体" w:eastAsia="宋体" w:cs="Times New Roman"/>
                <w:kern w:val="28"/>
                <w:sz w:val="21"/>
                <w:szCs w:val="21"/>
              </w:rPr>
              <w:t>标准化自评公告</w:t>
            </w:r>
          </w:p>
        </w:tc>
      </w:tr>
    </w:tbl>
    <w:p>
      <w:pPr>
        <w:adjustRightInd w:val="0"/>
        <w:snapToGrid w:val="0"/>
        <w:spacing w:line="360" w:lineRule="auto"/>
        <w:ind w:firstLine="480" w:firstLineChars="200"/>
        <w:contextualSpacing/>
        <w:jc w:val="left"/>
        <w:outlineLvl w:val="9"/>
        <w:rPr>
          <w:rFonts w:cs="Times New Roman" w:eastAsiaTheme="majorEastAsia"/>
          <w:sz w:val="24"/>
        </w:rPr>
      </w:pP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三、操作规程</w:t>
      </w:r>
    </w:p>
    <w:p>
      <w:pPr>
        <w:spacing w:line="360" w:lineRule="auto"/>
        <w:ind w:firstLine="480" w:firstLineChars="200"/>
        <w:rPr>
          <w:rFonts w:eastAsia="宋体" w:cs="Times New Roman"/>
          <w:sz w:val="24"/>
          <w:szCs w:val="21"/>
        </w:rPr>
      </w:pPr>
      <w:r>
        <w:rPr>
          <w:rFonts w:eastAsia="宋体" w:cs="Times New Roman"/>
          <w:sz w:val="24"/>
          <w:szCs w:val="21"/>
        </w:rPr>
        <w:t>企业应根据生产特点，编制岗位安全操作规程，并发放到相关岗位</w:t>
      </w:r>
      <w:r>
        <w:rPr>
          <w:rFonts w:hint="eastAsia" w:eastAsia="宋体" w:cs="Times New Roman"/>
          <w:sz w:val="24"/>
          <w:szCs w:val="21"/>
        </w:rPr>
        <w:t>。</w:t>
      </w:r>
      <w:r>
        <w:rPr>
          <w:rFonts w:eastAsia="宋体" w:cs="Times New Roman"/>
          <w:sz w:val="24"/>
          <w:szCs w:val="21"/>
        </w:rPr>
        <w:t xml:space="preserve"> </w:t>
      </w:r>
    </w:p>
    <w:p>
      <w:pPr>
        <w:spacing w:line="360" w:lineRule="auto"/>
        <w:ind w:firstLine="480" w:firstLineChars="200"/>
        <w:rPr>
          <w:rFonts w:eastAsia="宋体" w:cs="Times New Roman"/>
          <w:sz w:val="24"/>
          <w:szCs w:val="21"/>
        </w:rPr>
      </w:pPr>
      <w:r>
        <w:rPr>
          <w:rFonts w:eastAsia="宋体" w:cs="Times New Roman"/>
          <w:sz w:val="24"/>
          <w:szCs w:val="21"/>
        </w:rPr>
        <w:t>1.基于岗位生产特点中的特定风险的辨识，编制齐全、适用的岗位安全操作规程。</w:t>
      </w:r>
    </w:p>
    <w:p>
      <w:pPr>
        <w:spacing w:line="360" w:lineRule="auto"/>
        <w:ind w:firstLine="480" w:firstLineChars="200"/>
        <w:rPr>
          <w:rFonts w:eastAsia="宋体" w:cs="Times New Roman"/>
          <w:sz w:val="24"/>
          <w:szCs w:val="21"/>
        </w:rPr>
      </w:pPr>
      <w:r>
        <w:rPr>
          <w:rFonts w:eastAsia="宋体" w:cs="Times New Roman"/>
          <w:sz w:val="24"/>
          <w:szCs w:val="21"/>
        </w:rPr>
        <w:t>2.向员工下发岗位安全操作规程，并对员工进行培训和考核。</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：参考《企业安全操作规程编制指南》 （DB32T3616-2019），操作规程应包含总则、作业范围内容、岗位存在的主要危险有害因素、作业前准备、正常作业操作方法、异常现象处理、应急处置、持续更新要求。</w:t>
      </w:r>
      <w:r>
        <w:rPr>
          <w:rFonts w:hint="eastAsia" w:eastAsia="宋体" w:cs="Times New Roman"/>
          <w:sz w:val="24"/>
          <w:szCs w:val="21"/>
        </w:rPr>
        <w:t>见图4</w:t>
      </w:r>
      <w:r>
        <w:rPr>
          <w:rFonts w:eastAsia="宋体" w:cs="Times New Roman"/>
          <w:sz w:val="24"/>
          <w:szCs w:val="21"/>
        </w:rPr>
        <w:t>.3</w:t>
      </w:r>
    </w:p>
    <w:p>
      <w:pPr>
        <w:spacing w:after="120"/>
        <w:jc w:val="center"/>
        <w:rPr>
          <w:rFonts w:eastAsia="宋体" w:cs="Times New Roman"/>
          <w:sz w:val="28"/>
          <w:szCs w:val="20"/>
        </w:rPr>
      </w:pPr>
      <w:r>
        <w:drawing>
          <wp:inline distT="0" distB="0" distL="0" distR="0">
            <wp:extent cx="3888105" cy="5629910"/>
            <wp:effectExtent l="0" t="0" r="0" b="88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9"/>
                    <a:stretch>
                      <a:fillRect/>
                    </a:stretch>
                  </pic:blipFill>
                  <pic:spPr>
                    <a:xfrm>
                      <a:off x="0" y="0"/>
                      <a:ext cx="3889166" cy="5631936"/>
                    </a:xfrm>
                    <a:prstGeom prst="rect">
                      <a:avLst/>
                    </a:prstGeom>
                  </pic:spPr>
                </pic:pic>
              </a:graphicData>
            </a:graphic>
          </wp:inline>
        </w:drawing>
      </w:r>
    </w:p>
    <w:p>
      <w:pPr>
        <w:spacing w:after="120"/>
        <w:jc w:val="center"/>
        <w:rPr>
          <w:rFonts w:ascii="宋体" w:hAnsi="宋体" w:eastAsia="宋体" w:cs="Times New Roman"/>
          <w:sz w:val="21"/>
          <w:szCs w:val="20"/>
        </w:rPr>
      </w:pPr>
      <w:r>
        <w:rPr>
          <w:rFonts w:hint="eastAsia" w:ascii="宋体" w:hAnsi="宋体" w:eastAsia="宋体" w:cs="Times New Roman"/>
          <w:sz w:val="21"/>
          <w:szCs w:val="20"/>
        </w:rPr>
        <w:t>图4</w:t>
      </w:r>
      <w:r>
        <w:rPr>
          <w:rFonts w:ascii="宋体" w:hAnsi="宋体" w:eastAsia="宋体" w:cs="Times New Roman"/>
          <w:sz w:val="21"/>
          <w:szCs w:val="20"/>
        </w:rPr>
        <w:t xml:space="preserve">.3 </w:t>
      </w:r>
      <w:r>
        <w:rPr>
          <w:rFonts w:hint="eastAsia" w:ascii="宋体" w:hAnsi="宋体" w:eastAsia="宋体" w:cs="Times New Roman"/>
          <w:sz w:val="21"/>
          <w:szCs w:val="20"/>
        </w:rPr>
        <w:t>岗位安全操作规程示例</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四、评估</w:t>
      </w:r>
    </w:p>
    <w:p>
      <w:pPr>
        <w:spacing w:line="360" w:lineRule="auto"/>
        <w:ind w:firstLine="480" w:firstLineChars="200"/>
        <w:rPr>
          <w:rFonts w:eastAsia="宋体" w:cs="Times New Roman"/>
          <w:sz w:val="24"/>
          <w:szCs w:val="21"/>
        </w:rPr>
      </w:pPr>
      <w:r>
        <w:rPr>
          <w:rFonts w:eastAsia="宋体" w:cs="Times New Roman"/>
          <w:sz w:val="24"/>
          <w:szCs w:val="21"/>
        </w:rPr>
        <w:t>企业应每年至少一次对安全生产法律法规、标准规范、规章制度、操作规程的执行情况进行检查评估</w:t>
      </w:r>
      <w:r>
        <w:rPr>
          <w:rFonts w:hint="eastAsia" w:eastAsia="宋体" w:cs="Times New Roman"/>
          <w:sz w:val="24"/>
          <w:szCs w:val="21"/>
        </w:rPr>
        <w:t>。</w:t>
      </w:r>
    </w:p>
    <w:p>
      <w:pPr>
        <w:pStyle w:val="2"/>
        <w:ind w:firstLine="482" w:firstLineChars="200"/>
        <w:rPr>
          <w:sz w:val="24"/>
          <w:szCs w:val="21"/>
        </w:rPr>
      </w:pPr>
      <w:r>
        <w:rPr>
          <w:rFonts w:hint="eastAsia"/>
          <w:b/>
          <w:sz w:val="24"/>
          <w:szCs w:val="21"/>
        </w:rPr>
        <w:t>释义</w:t>
      </w:r>
      <w:r>
        <w:rPr>
          <w:rFonts w:hint="eastAsia"/>
          <w:sz w:val="24"/>
          <w:szCs w:val="21"/>
        </w:rPr>
        <w:t>：评估需出具评估报告，评估报告需严谨，与实际相符。</w:t>
      </w:r>
    </w:p>
    <w:p>
      <w:pPr>
        <w:adjustRightInd w:val="0"/>
        <w:snapToGrid w:val="0"/>
        <w:spacing w:line="360" w:lineRule="auto"/>
        <w:ind w:firstLine="482" w:firstLineChars="200"/>
        <w:contextualSpacing/>
        <w:jc w:val="left"/>
        <w:outlineLvl w:val="1"/>
        <w:rPr>
          <w:rFonts w:eastAsia="宋体" w:cs="Times New Roman"/>
          <w:b/>
          <w:bCs/>
          <w:sz w:val="24"/>
          <w:szCs w:val="21"/>
        </w:rPr>
      </w:pPr>
      <w:r>
        <w:rPr>
          <w:rFonts w:eastAsia="宋体" w:cs="Times New Roman"/>
          <w:b/>
          <w:bCs/>
          <w:sz w:val="24"/>
          <w:szCs w:val="21"/>
        </w:rPr>
        <w:t>五、修订</w:t>
      </w:r>
    </w:p>
    <w:p>
      <w:pPr>
        <w:spacing w:line="360" w:lineRule="auto"/>
        <w:ind w:firstLine="480" w:firstLineChars="200"/>
        <w:rPr>
          <w:rFonts w:eastAsia="宋体" w:cs="Times New Roman"/>
          <w:sz w:val="24"/>
          <w:szCs w:val="21"/>
        </w:rPr>
      </w:pPr>
      <w:r>
        <w:rPr>
          <w:rFonts w:eastAsia="宋体" w:cs="Times New Roman"/>
          <w:sz w:val="24"/>
          <w:szCs w:val="21"/>
        </w:rPr>
        <w:t>企业应根据评估情况、安全检查反馈的问题、生产安全事故案例、绩效评定结果等，对安全生产管理规章制度和操作规程进行修订，确保其有效和适用，保证每个岗位所使用的为最新有效版本。</w:t>
      </w:r>
    </w:p>
    <w:p>
      <w:pPr>
        <w:pStyle w:val="2"/>
        <w:spacing w:line="360" w:lineRule="auto"/>
        <w:ind w:firstLine="482" w:firstLineChars="200"/>
        <w:rPr>
          <w:sz w:val="24"/>
          <w:szCs w:val="21"/>
        </w:rPr>
      </w:pPr>
      <w:r>
        <w:rPr>
          <w:rFonts w:hint="eastAsia"/>
          <w:b/>
          <w:sz w:val="24"/>
          <w:szCs w:val="21"/>
        </w:rPr>
        <w:t>释义</w:t>
      </w:r>
      <w:r>
        <w:rPr>
          <w:rFonts w:hint="eastAsia"/>
          <w:sz w:val="24"/>
          <w:szCs w:val="21"/>
        </w:rPr>
        <w:t>：企业应制定修订计划，应及时组织相关制度、操作规程进行修订，并做好修订记录。</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六、文件和档案管理</w:t>
      </w:r>
    </w:p>
    <w:p>
      <w:pPr>
        <w:spacing w:line="360" w:lineRule="auto"/>
        <w:ind w:firstLine="480" w:firstLineChars="200"/>
        <w:rPr>
          <w:rFonts w:eastAsia="宋体" w:cs="Times New Roman"/>
          <w:sz w:val="24"/>
          <w:szCs w:val="21"/>
        </w:rPr>
      </w:pPr>
      <w:r>
        <w:rPr>
          <w:rFonts w:eastAsia="宋体" w:cs="Times New Roman"/>
          <w:sz w:val="24"/>
          <w:szCs w:val="21"/>
        </w:rPr>
        <w:t>（一）企业应严格执行文件和档案管理制度，确保安全规章制度和操作规程编制、使用、评审、修订的效力。</w:t>
      </w:r>
    </w:p>
    <w:p>
      <w:pPr>
        <w:spacing w:line="360" w:lineRule="auto"/>
        <w:ind w:firstLine="480" w:firstLineChars="200"/>
        <w:rPr>
          <w:rFonts w:eastAsia="宋体" w:cs="Times New Roman"/>
          <w:sz w:val="24"/>
          <w:szCs w:val="21"/>
        </w:rPr>
      </w:pPr>
      <w:r>
        <w:rPr>
          <w:rFonts w:eastAsia="宋体" w:cs="Times New Roman"/>
          <w:sz w:val="24"/>
          <w:szCs w:val="21"/>
        </w:rPr>
        <w:t>1.建立文件和档案的管理制度，明确责任部门、人员、流程、形式、权限及各类安全生产档案及保存要求等。</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：企业应结合实际，建立《文件和档案管理制度》，制度文件需经初评、评审、主要负责人批准、发布、人员培训和归档，形成有效的制度文件。</w:t>
      </w:r>
    </w:p>
    <w:p>
      <w:pPr>
        <w:spacing w:line="360" w:lineRule="auto"/>
        <w:ind w:firstLine="480" w:firstLineChars="200"/>
        <w:rPr>
          <w:rFonts w:eastAsia="宋体" w:cs="Times New Roman"/>
          <w:sz w:val="24"/>
          <w:szCs w:val="21"/>
        </w:rPr>
      </w:pPr>
      <w:r>
        <w:rPr>
          <w:rFonts w:eastAsia="宋体" w:cs="Times New Roman"/>
          <w:sz w:val="24"/>
          <w:szCs w:val="21"/>
        </w:rPr>
        <w:t>2.确保安全规章制度和操作规程编制、使用、评审、修订的效力。</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：明确责任部门、人员、流程、形式、权限及各类安全生产档案及保存要求等。</w:t>
      </w:r>
    </w:p>
    <w:p>
      <w:pPr>
        <w:spacing w:line="360" w:lineRule="auto"/>
        <w:ind w:firstLine="480" w:firstLineChars="200"/>
        <w:rPr>
          <w:rFonts w:eastAsia="宋体" w:cs="Times New Roman"/>
          <w:sz w:val="24"/>
          <w:szCs w:val="21"/>
        </w:rPr>
      </w:pPr>
      <w:r>
        <w:rPr>
          <w:rFonts w:eastAsia="宋体" w:cs="Times New Roman"/>
          <w:sz w:val="24"/>
          <w:szCs w:val="21"/>
        </w:rPr>
        <w:t>（二）企业应建立主要安全生产过程、事件、活动、检查的安全记录档案，并加强对安全记录的有效管理；</w:t>
      </w:r>
    </w:p>
    <w:p>
      <w:pPr>
        <w:spacing w:line="360" w:lineRule="auto"/>
        <w:ind w:firstLine="480" w:firstLineChars="200"/>
        <w:rPr>
          <w:rFonts w:eastAsia="宋体" w:cs="Times New Roman"/>
          <w:sz w:val="24"/>
          <w:szCs w:val="21"/>
        </w:rPr>
      </w:pPr>
      <w:r>
        <w:rPr>
          <w:rFonts w:eastAsia="宋体" w:cs="Times New Roman"/>
          <w:sz w:val="24"/>
          <w:szCs w:val="21"/>
        </w:rPr>
        <w:t>对下列主要安全生产资料进行档案管理：安全生产会议记录（含纪要）、安全费用提取使用记录、员工安全教育培训记录、劳动防护用品采购发放记录、危险源管理台帐、安全生产检查记录、授权作业指令单、事故调查处理报告、事故隐患整改记录、安全生产奖惩记录、特种作业人员登记记录、特种设备管理记录、外来施工队伍安全管理记录、安全设备设施管理台账（包括安装、运行、维护等）、有关强制性检测检验报告或记录、新改扩建项目“三同时”、风险评价信息、应急演习信息、技术图纸等。</w:t>
      </w:r>
    </w:p>
    <w:p>
      <w:pPr>
        <w:spacing w:after="120"/>
        <w:jc w:val="center"/>
        <w:rPr>
          <w:rFonts w:eastAsia="黑体" w:cs="Times New Roman"/>
          <w:b/>
          <w:bCs/>
          <w:kern w:val="44"/>
          <w:sz w:val="28"/>
          <w:szCs w:val="44"/>
        </w:rPr>
      </w:pPr>
      <w:r>
        <w:rPr>
          <w:rFonts w:eastAsia="宋体" w:cs="Times New Roman"/>
          <w:sz w:val="28"/>
          <w:szCs w:val="20"/>
        </w:rPr>
        <w:br w:type="page"/>
      </w:r>
    </w:p>
    <w:p>
      <w:pPr>
        <w:adjustRightInd w:val="0"/>
        <w:snapToGrid w:val="0"/>
        <w:spacing w:line="360" w:lineRule="auto"/>
        <w:contextualSpacing/>
        <w:jc w:val="center"/>
        <w:outlineLvl w:val="0"/>
        <w:rPr>
          <w:rFonts w:eastAsia="黑体" w:cs="Times New Roman"/>
          <w:sz w:val="28"/>
          <w:szCs w:val="28"/>
        </w:rPr>
      </w:pPr>
      <w:bookmarkStart w:id="10" w:name="_Toc93400223"/>
      <w:bookmarkStart w:id="11" w:name="_Toc92370385"/>
      <w:bookmarkStart w:id="12" w:name="_Toc6045"/>
      <w:r>
        <w:rPr>
          <w:rFonts w:eastAsia="黑体" w:cs="Times New Roman"/>
          <w:sz w:val="28"/>
          <w:szCs w:val="28"/>
        </w:rPr>
        <w:t>第五章 教育培训</w:t>
      </w:r>
      <w:bookmarkEnd w:id="10"/>
      <w:bookmarkEnd w:id="11"/>
      <w:bookmarkEnd w:id="12"/>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一、教育培训管理</w:t>
      </w:r>
    </w:p>
    <w:p>
      <w:pPr>
        <w:spacing w:line="360" w:lineRule="auto"/>
        <w:ind w:firstLine="480" w:firstLineChars="200"/>
        <w:rPr>
          <w:rFonts w:eastAsia="宋体" w:cs="Times New Roman"/>
          <w:sz w:val="24"/>
          <w:szCs w:val="21"/>
        </w:rPr>
      </w:pPr>
      <w:r>
        <w:rPr>
          <w:rFonts w:eastAsia="宋体" w:cs="Times New Roman"/>
          <w:sz w:val="24"/>
          <w:szCs w:val="21"/>
        </w:rPr>
        <w:t>（一）企业应确定安全教育培训主管部门，按规定及岗位需要，定期识别安全教育培训需求，制定、实施安全教育培训计划，提供相应的资源保证；</w:t>
      </w:r>
    </w:p>
    <w:p>
      <w:pPr>
        <w:spacing w:line="360" w:lineRule="auto"/>
        <w:ind w:firstLine="480" w:firstLineChars="200"/>
        <w:rPr>
          <w:rFonts w:eastAsia="宋体" w:cs="Times New Roman"/>
          <w:sz w:val="24"/>
          <w:szCs w:val="21"/>
        </w:rPr>
      </w:pPr>
      <w:r>
        <w:rPr>
          <w:rFonts w:eastAsia="宋体" w:cs="Times New Roman"/>
          <w:sz w:val="24"/>
          <w:szCs w:val="21"/>
        </w:rPr>
        <w:t>1.建立安全教育培训的管理制度。</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：企业应结合实际，建立《安全教育培训管理制度》，制度文件需经初评、评审、主要负责人批准、发布、人员培训和归档，形成有效的制度文件。</w:t>
      </w:r>
    </w:p>
    <w:p>
      <w:pPr>
        <w:spacing w:line="360" w:lineRule="auto"/>
        <w:ind w:firstLine="480" w:firstLineChars="200"/>
        <w:rPr>
          <w:rFonts w:eastAsia="宋体" w:cs="Times New Roman"/>
          <w:sz w:val="24"/>
          <w:szCs w:val="21"/>
        </w:rPr>
      </w:pPr>
      <w:r>
        <w:rPr>
          <w:rFonts w:eastAsia="宋体" w:cs="Times New Roman"/>
          <w:sz w:val="24"/>
          <w:szCs w:val="21"/>
        </w:rPr>
        <w:t>2.确定安全教育培训主管部门，定期识别安全教育培训需求，制定各类人员的培训计划。</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：确定安全教育培训主管部门，至少每年对各部门岗位人员进行一次安全教育培训需求调研并统计，根据培训需求，制定年度安全培训计划。并严格按计划实施安全教育培训。</w:t>
      </w:r>
    </w:p>
    <w:p>
      <w:pPr>
        <w:spacing w:line="360" w:lineRule="auto"/>
        <w:ind w:firstLine="480" w:firstLineChars="200"/>
        <w:rPr>
          <w:rFonts w:eastAsia="宋体" w:cs="Times New Roman"/>
          <w:sz w:val="24"/>
          <w:szCs w:val="21"/>
        </w:rPr>
      </w:pPr>
      <w:r>
        <w:rPr>
          <w:rFonts w:eastAsia="宋体" w:cs="Times New Roman"/>
          <w:sz w:val="24"/>
          <w:szCs w:val="21"/>
        </w:rPr>
        <w:t>（二）应做好安全教育培训记录，建立安全教育培训档案，实施分级管理，并对培训效果进行评估和改进；</w:t>
      </w:r>
    </w:p>
    <w:p>
      <w:pPr>
        <w:spacing w:line="360" w:lineRule="auto"/>
        <w:ind w:firstLine="480" w:firstLineChars="200"/>
        <w:rPr>
          <w:rFonts w:eastAsia="宋体" w:cs="Times New Roman"/>
          <w:sz w:val="24"/>
          <w:szCs w:val="21"/>
        </w:rPr>
      </w:pPr>
      <w:r>
        <w:rPr>
          <w:rFonts w:eastAsia="宋体" w:cs="Times New Roman"/>
          <w:sz w:val="24"/>
          <w:szCs w:val="21"/>
        </w:rPr>
        <w:t>按计划进行安全教育培训，对安全培训效果进行评估和改进。做好培训记录，并建立档案。</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二、安全生产管理人员教育培训</w:t>
      </w:r>
    </w:p>
    <w:p>
      <w:pPr>
        <w:spacing w:line="360" w:lineRule="auto"/>
        <w:ind w:firstLine="480" w:firstLineChars="200"/>
        <w:rPr>
          <w:rFonts w:eastAsia="宋体" w:cs="Times New Roman"/>
          <w:sz w:val="24"/>
          <w:szCs w:val="21"/>
        </w:rPr>
      </w:pPr>
      <w:r>
        <w:rPr>
          <w:rFonts w:eastAsia="宋体" w:cs="Times New Roman"/>
          <w:sz w:val="24"/>
          <w:szCs w:val="21"/>
        </w:rPr>
        <w:t>企业的主要负责人和安全生产管理人员，必须具备与本单位所从事的生产经营活动相适应的安全生产知识和管理能力。法律法规要求必须对其安全生产知识和管理能力进行考核的，须经考核合格后方可任职。主要负责人和安全生产管理人员，应具备与本单位所从事的生产经营活动相适应的安全生产知识和管理能力，经培训考核合格后方可任职。</w:t>
      </w:r>
    </w:p>
    <w:p>
      <w:pPr>
        <w:pStyle w:val="2"/>
        <w:spacing w:line="360" w:lineRule="auto"/>
        <w:ind w:firstLine="482" w:firstLineChars="200"/>
        <w:rPr>
          <w:sz w:val="24"/>
          <w:szCs w:val="21"/>
        </w:rPr>
      </w:pPr>
      <w:r>
        <w:rPr>
          <w:rFonts w:hint="eastAsia"/>
          <w:b/>
          <w:sz w:val="24"/>
          <w:szCs w:val="21"/>
        </w:rPr>
        <w:t>释义</w:t>
      </w:r>
      <w:r>
        <w:rPr>
          <w:rFonts w:hint="eastAsia"/>
          <w:sz w:val="24"/>
          <w:szCs w:val="21"/>
        </w:rPr>
        <w:t>：报名入口：常州市企业安全生产管理信息系统（</w:t>
      </w:r>
      <w:r>
        <w:fldChar w:fldCharType="begin"/>
      </w:r>
      <w:r>
        <w:instrText xml:space="preserve"> HYPERLINK "http://www.jsczyj.cn/" \l "/qy），见图5.2" </w:instrText>
      </w:r>
      <w:r>
        <w:fldChar w:fldCharType="separate"/>
      </w:r>
      <w:r>
        <w:rPr>
          <w:sz w:val="24"/>
          <w:szCs w:val="21"/>
        </w:rPr>
        <w:t>http://www.jsczyj.cn/#/qy</w:t>
      </w:r>
      <w:r>
        <w:rPr>
          <w:rFonts w:hint="eastAsia"/>
          <w:sz w:val="24"/>
          <w:szCs w:val="21"/>
        </w:rPr>
        <w:t>），见图5</w:t>
      </w:r>
      <w:r>
        <w:rPr>
          <w:sz w:val="24"/>
          <w:szCs w:val="21"/>
        </w:rPr>
        <w:t>.2</w:t>
      </w:r>
      <w:r>
        <w:rPr>
          <w:sz w:val="24"/>
          <w:szCs w:val="21"/>
        </w:rPr>
        <w:fldChar w:fldCharType="end"/>
      </w:r>
      <w:r>
        <w:rPr>
          <w:sz w:val="24"/>
          <w:szCs w:val="21"/>
        </w:rPr>
        <w:t xml:space="preserve"> </w:t>
      </w:r>
    </w:p>
    <w:p>
      <w:pPr>
        <w:pStyle w:val="2"/>
      </w:pPr>
      <w:r>
        <w:drawing>
          <wp:inline distT="0" distB="0" distL="0" distR="0">
            <wp:extent cx="3888105" cy="177165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0"/>
                    <a:stretch>
                      <a:fillRect/>
                    </a:stretch>
                  </pic:blipFill>
                  <pic:spPr>
                    <a:xfrm>
                      <a:off x="0" y="0"/>
                      <a:ext cx="3888105" cy="1771650"/>
                    </a:xfrm>
                    <a:prstGeom prst="rect">
                      <a:avLst/>
                    </a:prstGeom>
                  </pic:spPr>
                </pic:pic>
              </a:graphicData>
            </a:graphic>
          </wp:inline>
        </w:drawing>
      </w:r>
    </w:p>
    <w:p>
      <w:pPr>
        <w:spacing w:line="360" w:lineRule="auto"/>
        <w:jc w:val="center"/>
        <w:rPr>
          <w:rFonts w:eastAsia="宋体" w:cs="Times New Roman"/>
          <w:sz w:val="24"/>
          <w:szCs w:val="21"/>
        </w:rPr>
      </w:pPr>
    </w:p>
    <w:p>
      <w:pPr>
        <w:pStyle w:val="2"/>
        <w:jc w:val="center"/>
      </w:pPr>
      <w:r>
        <w:drawing>
          <wp:inline distT="0" distB="0" distL="0" distR="0">
            <wp:extent cx="3888105" cy="1520825"/>
            <wp:effectExtent l="0" t="0" r="0" b="317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1"/>
                    <a:stretch>
                      <a:fillRect/>
                    </a:stretch>
                  </pic:blipFill>
                  <pic:spPr>
                    <a:xfrm>
                      <a:off x="0" y="0"/>
                      <a:ext cx="3888105" cy="1520825"/>
                    </a:xfrm>
                    <a:prstGeom prst="rect">
                      <a:avLst/>
                    </a:prstGeom>
                  </pic:spPr>
                </pic:pic>
              </a:graphicData>
            </a:graphic>
          </wp:inline>
        </w:drawing>
      </w:r>
    </w:p>
    <w:p>
      <w:pPr>
        <w:pStyle w:val="2"/>
        <w:jc w:val="center"/>
        <w:rPr>
          <w:rFonts w:ascii="宋体" w:hAnsi="宋体"/>
          <w:sz w:val="21"/>
        </w:rPr>
      </w:pPr>
      <w:r>
        <w:rPr>
          <w:rFonts w:hint="eastAsia" w:ascii="宋体" w:hAnsi="宋体"/>
          <w:sz w:val="21"/>
        </w:rPr>
        <w:t>图5</w:t>
      </w:r>
      <w:r>
        <w:rPr>
          <w:rFonts w:ascii="宋体" w:hAnsi="宋体"/>
          <w:sz w:val="21"/>
        </w:rPr>
        <w:t xml:space="preserve">.2 </w:t>
      </w:r>
      <w:r>
        <w:rPr>
          <w:rFonts w:hint="eastAsia" w:ascii="宋体" w:hAnsi="宋体"/>
          <w:sz w:val="21"/>
        </w:rPr>
        <w:t>常州市企业安全生产申报系统-安全生产培训</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三、操作岗位人员教育培训</w:t>
      </w:r>
    </w:p>
    <w:p>
      <w:pPr>
        <w:spacing w:line="360" w:lineRule="auto"/>
        <w:ind w:firstLine="480" w:firstLineChars="200"/>
        <w:rPr>
          <w:rFonts w:eastAsia="宋体" w:cs="Times New Roman"/>
          <w:sz w:val="24"/>
          <w:szCs w:val="21"/>
        </w:rPr>
      </w:pPr>
      <w:r>
        <w:rPr>
          <w:rFonts w:eastAsia="宋体" w:cs="Times New Roman"/>
          <w:sz w:val="24"/>
          <w:szCs w:val="21"/>
        </w:rPr>
        <w:t>（一）企业应对操作岗位人员进行安全教育和生产技能培训，使其熟悉有关的安全生产规章制度和安全操作规程，并确认其能力符合岗位要求。未经安全教育培训，或培训考核不合格的从业人员，不得上岗作业；</w:t>
      </w:r>
    </w:p>
    <w:p>
      <w:pPr>
        <w:spacing w:line="360" w:lineRule="auto"/>
        <w:ind w:firstLine="480" w:firstLineChars="200"/>
        <w:rPr>
          <w:rFonts w:eastAsia="宋体" w:cs="Times New Roman"/>
          <w:sz w:val="24"/>
          <w:szCs w:val="21"/>
        </w:rPr>
      </w:pPr>
      <w:r>
        <w:rPr>
          <w:rFonts w:eastAsia="宋体" w:cs="Times New Roman"/>
          <w:sz w:val="24"/>
          <w:szCs w:val="21"/>
        </w:rPr>
        <w:t>对岗位操作人员进行安全教育和生产技能培训和考核，考核不合格人员，不得上岗；进行上岗前的职业健康培训和在岗期间的定期职位健康培训。</w:t>
      </w:r>
    </w:p>
    <w:p>
      <w:pPr>
        <w:spacing w:line="360" w:lineRule="auto"/>
        <w:ind w:firstLine="480" w:firstLineChars="200"/>
        <w:rPr>
          <w:rFonts w:eastAsia="宋体" w:cs="Times New Roman"/>
          <w:sz w:val="24"/>
          <w:szCs w:val="21"/>
        </w:rPr>
      </w:pPr>
      <w:r>
        <w:rPr>
          <w:rFonts w:eastAsia="宋体" w:cs="Times New Roman"/>
          <w:sz w:val="24"/>
          <w:szCs w:val="21"/>
        </w:rPr>
        <w:t>（二）新入厂人员在上岗前必须经过厂、车间（工段、区、队）、班组三级安全教育培训</w:t>
      </w:r>
      <w:r>
        <w:rPr>
          <w:rFonts w:hint="eastAsia" w:eastAsia="宋体" w:cs="Times New Roman"/>
          <w:sz w:val="24"/>
          <w:szCs w:val="21"/>
        </w:rPr>
        <w:t>。</w:t>
      </w:r>
    </w:p>
    <w:p>
      <w:pPr>
        <w:widowControl/>
        <w:shd w:val="clear" w:color="auto" w:fill="FFFFFF"/>
        <w:spacing w:line="360" w:lineRule="auto"/>
        <w:ind w:firstLine="480"/>
        <w:jc w:val="left"/>
        <w:rPr>
          <w:rFonts w:eastAsia="宋体" w:cs="Times New Roman"/>
          <w:sz w:val="24"/>
          <w:szCs w:val="21"/>
        </w:rPr>
      </w:pPr>
      <w:r>
        <w:rPr>
          <w:rFonts w:hint="eastAsia" w:eastAsia="宋体" w:cs="Times New Roman"/>
          <w:b/>
          <w:sz w:val="24"/>
          <w:szCs w:val="21"/>
        </w:rPr>
        <w:t>释义</w:t>
      </w:r>
      <w:r>
        <w:rPr>
          <w:rFonts w:hint="eastAsia" w:eastAsia="宋体" w:cs="Times New Roman"/>
          <w:sz w:val="24"/>
          <w:szCs w:val="21"/>
        </w:rPr>
        <w:t>：根据</w:t>
      </w:r>
      <w:r>
        <w:rPr>
          <w:rFonts w:eastAsia="宋体" w:cs="Times New Roman"/>
          <w:sz w:val="24"/>
          <w:szCs w:val="21"/>
        </w:rPr>
        <w:t>《国家安全监管总局关于修改〈生产经营单位安全培训规定〉等11件规章的决定》第十三条生产经营单位新上岗的从业人员，岗前安全培训时间不得少于24学时。</w:t>
      </w:r>
    </w:p>
    <w:p>
      <w:pPr>
        <w:widowControl/>
        <w:shd w:val="clear" w:color="auto" w:fill="FFFFFF"/>
        <w:spacing w:line="360" w:lineRule="auto"/>
        <w:ind w:firstLine="480"/>
        <w:jc w:val="left"/>
        <w:rPr>
          <w:rFonts w:eastAsia="宋体" w:cs="Times New Roman"/>
          <w:sz w:val="24"/>
          <w:szCs w:val="21"/>
        </w:rPr>
      </w:pPr>
      <w:r>
        <w:rPr>
          <w:rFonts w:eastAsia="宋体" w:cs="Times New Roman"/>
          <w:sz w:val="24"/>
          <w:szCs w:val="21"/>
        </w:rPr>
        <w:t>煤矿、非煤矿山、危险化学品、烟花爆竹、金属冶炼等生产经营单位新上岗的从业人员安全培训时间不得少于72学时，每年再培训的时间不得少于20学时。</w:t>
      </w:r>
    </w:p>
    <w:p>
      <w:pPr>
        <w:spacing w:line="360" w:lineRule="auto"/>
        <w:ind w:firstLine="480" w:firstLineChars="200"/>
        <w:rPr>
          <w:rFonts w:eastAsia="宋体" w:cs="Times New Roman"/>
          <w:sz w:val="24"/>
          <w:szCs w:val="21"/>
        </w:rPr>
      </w:pPr>
      <w:r>
        <w:rPr>
          <w:rFonts w:eastAsia="宋体" w:cs="Times New Roman"/>
          <w:sz w:val="24"/>
          <w:szCs w:val="21"/>
        </w:rPr>
        <w:t>（三）在新工艺、新技术、新材料、新设备设施投入使用前，应对有关操作岗位人员进行专门的安全教育和培训；</w:t>
      </w:r>
    </w:p>
    <w:p>
      <w:pPr>
        <w:pStyle w:val="2"/>
        <w:jc w:val="center"/>
        <w:rPr>
          <w:rFonts w:ascii="宋体" w:hAnsi="宋体"/>
          <w:sz w:val="21"/>
        </w:rPr>
      </w:pPr>
      <w:r>
        <w:rPr>
          <w:rFonts w:hint="eastAsia" w:ascii="宋体" w:hAnsi="宋体"/>
          <w:sz w:val="21"/>
        </w:rPr>
        <w:t>表5</w:t>
      </w:r>
      <w:r>
        <w:rPr>
          <w:rFonts w:ascii="宋体" w:hAnsi="宋体"/>
          <w:sz w:val="21"/>
        </w:rPr>
        <w:t xml:space="preserve">.3-3 </w:t>
      </w:r>
      <w:r>
        <w:rPr>
          <w:rFonts w:hint="eastAsia" w:ascii="宋体" w:hAnsi="宋体"/>
          <w:sz w:val="21"/>
        </w:rPr>
        <w:t>“四新”安全培训记录表</w:t>
      </w:r>
    </w:p>
    <w:p>
      <w:pPr>
        <w:spacing w:after="120"/>
        <w:jc w:val="center"/>
        <w:rPr>
          <w:rFonts w:eastAsia="宋体" w:cs="Times New Roman"/>
          <w:sz w:val="28"/>
          <w:szCs w:val="20"/>
        </w:rPr>
      </w:pPr>
      <w:r>
        <w:drawing>
          <wp:inline distT="0" distB="0" distL="0" distR="0">
            <wp:extent cx="2301875" cy="3167380"/>
            <wp:effectExtent l="0" t="0" r="3175" b="0"/>
            <wp:docPr id="7206" name="图片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 name="图片 7206"/>
                    <pic:cNvPicPr>
                      <a:picLocks noChangeAspect="1"/>
                    </pic:cNvPicPr>
                  </pic:nvPicPr>
                  <pic:blipFill>
                    <a:blip r:embed="rId32"/>
                    <a:stretch>
                      <a:fillRect/>
                    </a:stretch>
                  </pic:blipFill>
                  <pic:spPr>
                    <a:xfrm>
                      <a:off x="0" y="0"/>
                      <a:ext cx="2313641" cy="3183854"/>
                    </a:xfrm>
                    <a:prstGeom prst="rect">
                      <a:avLst/>
                    </a:prstGeom>
                  </pic:spPr>
                </pic:pic>
              </a:graphicData>
            </a:graphic>
          </wp:inline>
        </w:drawing>
      </w:r>
    </w:p>
    <w:p>
      <w:pPr>
        <w:spacing w:line="360" w:lineRule="auto"/>
        <w:ind w:firstLine="480" w:firstLineChars="200"/>
        <w:rPr>
          <w:rFonts w:eastAsia="宋体" w:cs="Times New Roman"/>
          <w:sz w:val="24"/>
          <w:szCs w:val="21"/>
        </w:rPr>
      </w:pPr>
      <w:r>
        <w:rPr>
          <w:rFonts w:eastAsia="宋体" w:cs="Times New Roman"/>
          <w:sz w:val="24"/>
          <w:szCs w:val="21"/>
        </w:rPr>
        <w:t>（四）操作岗位人员转岗、离岗一年以上重新上岗者，应进行车间(工段)、班组安全教育培训，经考核合格后，方可上岗工作；</w:t>
      </w:r>
    </w:p>
    <w:p>
      <w:pPr>
        <w:pStyle w:val="2"/>
        <w:jc w:val="center"/>
        <w:rPr>
          <w:rFonts w:ascii="宋体" w:hAnsi="宋体"/>
          <w:sz w:val="21"/>
        </w:rPr>
      </w:pPr>
      <w:r>
        <w:rPr>
          <w:rFonts w:hint="eastAsia" w:ascii="宋体" w:hAnsi="宋体"/>
          <w:sz w:val="21"/>
        </w:rPr>
        <w:t>表5</w:t>
      </w:r>
      <w:r>
        <w:rPr>
          <w:rFonts w:ascii="宋体" w:hAnsi="宋体"/>
          <w:sz w:val="21"/>
        </w:rPr>
        <w:t xml:space="preserve">.3-4 </w:t>
      </w:r>
      <w:r>
        <w:rPr>
          <w:rFonts w:hint="eastAsia" w:ascii="宋体" w:hAnsi="宋体"/>
          <w:sz w:val="21"/>
        </w:rPr>
        <w:t>转岗安全教育培训记录表</w:t>
      </w:r>
    </w:p>
    <w:p>
      <w:pPr>
        <w:spacing w:after="120"/>
        <w:jc w:val="center"/>
        <w:rPr>
          <w:rFonts w:eastAsia="宋体" w:cs="Times New Roman"/>
          <w:sz w:val="28"/>
          <w:szCs w:val="20"/>
        </w:rPr>
      </w:pPr>
      <w:r>
        <w:rPr>
          <w:rFonts w:eastAsia="宋体" w:cs="Times New Roman"/>
          <w:sz w:val="24"/>
        </w:rPr>
        <w:drawing>
          <wp:inline distT="0" distB="0" distL="0" distR="0">
            <wp:extent cx="2172335" cy="2891155"/>
            <wp:effectExtent l="0" t="0" r="18415" b="4445"/>
            <wp:docPr id="15442" name="图片 1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 name="图片 15442"/>
                    <pic:cNvPicPr>
                      <a:picLocks noChangeAspect="1"/>
                    </pic:cNvPicPr>
                  </pic:nvPicPr>
                  <pic:blipFill>
                    <a:blip r:embed="rId33"/>
                    <a:stretch>
                      <a:fillRect/>
                    </a:stretch>
                  </pic:blipFill>
                  <pic:spPr>
                    <a:xfrm>
                      <a:off x="0" y="0"/>
                      <a:ext cx="2172335" cy="2891155"/>
                    </a:xfrm>
                    <a:prstGeom prst="rect">
                      <a:avLst/>
                    </a:prstGeom>
                  </pic:spPr>
                </pic:pic>
              </a:graphicData>
            </a:graphic>
          </wp:inline>
        </w:drawing>
      </w:r>
    </w:p>
    <w:p>
      <w:pPr>
        <w:spacing w:line="360" w:lineRule="auto"/>
        <w:ind w:firstLine="480" w:firstLineChars="200"/>
        <w:rPr>
          <w:rFonts w:eastAsia="宋体" w:cs="Times New Roman"/>
          <w:sz w:val="24"/>
          <w:szCs w:val="21"/>
        </w:rPr>
      </w:pPr>
      <w:r>
        <w:rPr>
          <w:rFonts w:eastAsia="宋体" w:cs="Times New Roman"/>
          <w:sz w:val="24"/>
          <w:szCs w:val="21"/>
        </w:rPr>
        <w:t>（五）从事特种作业的人员应取得特种作业操作资格证书，方可上岗作业。</w:t>
      </w:r>
    </w:p>
    <w:p>
      <w:pPr>
        <w:spacing w:line="360" w:lineRule="auto"/>
        <w:ind w:firstLine="482" w:firstLineChars="200"/>
        <w:rPr>
          <w:rFonts w:eastAsia="宋体" w:cs="Times New Roman"/>
          <w:sz w:val="24"/>
          <w:szCs w:val="21"/>
        </w:rPr>
      </w:pPr>
      <w:r>
        <w:rPr>
          <w:rFonts w:hint="eastAsia" w:eastAsia="宋体" w:cs="Times New Roman"/>
          <w:b/>
          <w:sz w:val="24"/>
          <w:szCs w:val="21"/>
        </w:rPr>
        <w:t>释义</w:t>
      </w:r>
      <w:r>
        <w:rPr>
          <w:rFonts w:eastAsia="宋体" w:cs="Times New Roman"/>
          <w:sz w:val="24"/>
          <w:szCs w:val="21"/>
        </w:rPr>
        <w:t>：特种作业人员应持证上岗，企业应做好特种作业人员登记，详细记录特种作业种类、取证时间、复审时间、证书有效期等信息。防止无证操作或证书过期。</w:t>
      </w:r>
    </w:p>
    <w:p>
      <w:pPr>
        <w:spacing w:line="360" w:lineRule="auto"/>
        <w:ind w:firstLine="480" w:firstLineChars="200"/>
        <w:rPr>
          <w:rFonts w:eastAsia="宋体" w:cs="Times New Roman"/>
          <w:sz w:val="24"/>
          <w:szCs w:val="21"/>
        </w:rPr>
      </w:pPr>
      <w:r>
        <w:rPr>
          <w:rFonts w:hint="eastAsia" w:eastAsia="宋体" w:cs="Times New Roman"/>
          <w:sz w:val="24"/>
          <w:szCs w:val="21"/>
        </w:rPr>
        <w:t>特种作业人员证书查询方式：可通过应急管理部网站查询，也可通过国家安全生产考试A</w:t>
      </w:r>
      <w:r>
        <w:rPr>
          <w:rFonts w:eastAsia="宋体" w:cs="Times New Roman"/>
          <w:sz w:val="24"/>
          <w:szCs w:val="21"/>
        </w:rPr>
        <w:t>PP</w:t>
      </w:r>
      <w:r>
        <w:rPr>
          <w:rFonts w:hint="eastAsia" w:eastAsia="宋体" w:cs="Times New Roman"/>
          <w:sz w:val="24"/>
          <w:szCs w:val="21"/>
        </w:rPr>
        <w:t>查询。见图5</w:t>
      </w:r>
      <w:r>
        <w:rPr>
          <w:rFonts w:eastAsia="宋体" w:cs="Times New Roman"/>
          <w:sz w:val="24"/>
          <w:szCs w:val="21"/>
        </w:rPr>
        <w:t>.3-5</w:t>
      </w:r>
    </w:p>
    <w:p>
      <w:pPr>
        <w:spacing w:after="120" w:line="360" w:lineRule="auto"/>
        <w:jc w:val="center"/>
      </w:pPr>
      <w:r>
        <w:drawing>
          <wp:inline distT="0" distB="0" distL="0" distR="0">
            <wp:extent cx="2906395" cy="2597150"/>
            <wp:effectExtent l="0" t="0" r="8255" b="1270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4"/>
                    <a:stretch>
                      <a:fillRect/>
                    </a:stretch>
                  </pic:blipFill>
                  <pic:spPr>
                    <a:xfrm>
                      <a:off x="0" y="0"/>
                      <a:ext cx="2906395" cy="2597150"/>
                    </a:xfrm>
                    <a:prstGeom prst="rect">
                      <a:avLst/>
                    </a:prstGeom>
                  </pic:spPr>
                </pic:pic>
              </a:graphicData>
            </a:graphic>
          </wp:inline>
        </w:drawing>
      </w:r>
    </w:p>
    <w:p>
      <w:pPr>
        <w:pStyle w:val="2"/>
        <w:jc w:val="center"/>
      </w:pPr>
      <w:r>
        <w:drawing>
          <wp:inline distT="0" distB="0" distL="0" distR="0">
            <wp:extent cx="3642995" cy="2755265"/>
            <wp:effectExtent l="0" t="0" r="14605" b="6985"/>
            <wp:docPr id="7205" name="图片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 name="图片 7205"/>
                    <pic:cNvPicPr>
                      <a:picLocks noChangeAspect="1"/>
                    </pic:cNvPicPr>
                  </pic:nvPicPr>
                  <pic:blipFill>
                    <a:blip r:embed="rId35"/>
                    <a:stretch>
                      <a:fillRect/>
                    </a:stretch>
                  </pic:blipFill>
                  <pic:spPr>
                    <a:xfrm>
                      <a:off x="0" y="0"/>
                      <a:ext cx="3645711" cy="2757355"/>
                    </a:xfrm>
                    <a:prstGeom prst="rect">
                      <a:avLst/>
                    </a:prstGeom>
                  </pic:spPr>
                </pic:pic>
              </a:graphicData>
            </a:graphic>
          </wp:inline>
        </w:drawing>
      </w:r>
    </w:p>
    <w:p>
      <w:pPr>
        <w:pStyle w:val="2"/>
        <w:jc w:val="center"/>
        <w:rPr>
          <w:rFonts w:ascii="宋体" w:hAnsi="宋体"/>
          <w:sz w:val="21"/>
        </w:rPr>
      </w:pPr>
      <w:r>
        <w:rPr>
          <w:rFonts w:hint="eastAsia" w:ascii="宋体" w:hAnsi="宋体"/>
          <w:sz w:val="21"/>
        </w:rPr>
        <w:t>图5</w:t>
      </w:r>
      <w:r>
        <w:rPr>
          <w:rFonts w:ascii="宋体" w:hAnsi="宋体"/>
          <w:sz w:val="21"/>
        </w:rPr>
        <w:t xml:space="preserve">.3-5 </w:t>
      </w:r>
      <w:r>
        <w:rPr>
          <w:rFonts w:hint="eastAsia" w:ascii="宋体" w:hAnsi="宋体"/>
          <w:sz w:val="21"/>
        </w:rPr>
        <w:t>特种作业人员证书查询</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四、其他人员教育培训</w:t>
      </w:r>
    </w:p>
    <w:p>
      <w:pPr>
        <w:spacing w:line="360" w:lineRule="auto"/>
        <w:ind w:firstLine="480" w:firstLineChars="200"/>
        <w:rPr>
          <w:rFonts w:eastAsia="宋体" w:cs="Times New Roman"/>
          <w:sz w:val="24"/>
          <w:szCs w:val="21"/>
        </w:rPr>
      </w:pPr>
      <w:r>
        <w:rPr>
          <w:rFonts w:eastAsia="宋体" w:cs="Times New Roman"/>
          <w:sz w:val="24"/>
          <w:szCs w:val="21"/>
        </w:rPr>
        <w:t>（一）企业应对相关方的作业人员进行安全教育培训。作业人员进入作业现场前，应由作业现场所在单位对其进行进入现场前的安全教育培训；</w:t>
      </w:r>
    </w:p>
    <w:p>
      <w:pPr>
        <w:spacing w:line="360" w:lineRule="auto"/>
        <w:ind w:firstLine="480" w:firstLineChars="200"/>
        <w:rPr>
          <w:rFonts w:eastAsia="宋体" w:cs="Times New Roman"/>
          <w:sz w:val="24"/>
          <w:szCs w:val="21"/>
        </w:rPr>
      </w:pPr>
      <w:r>
        <w:rPr>
          <w:rFonts w:eastAsia="宋体" w:cs="Times New Roman"/>
          <w:sz w:val="24"/>
          <w:szCs w:val="21"/>
        </w:rPr>
        <w:t>对相关方进行安全教育培训，培训合格后，取得入厂证后方可入厂工作。作业人员进入作业现场前，应由作业现场所在单位对其进行进入有针对性的现场前的安全教育培训。</w:t>
      </w:r>
    </w:p>
    <w:p>
      <w:pPr>
        <w:pStyle w:val="2"/>
        <w:jc w:val="center"/>
        <w:rPr>
          <w:rFonts w:ascii="宋体" w:hAnsi="宋体"/>
          <w:sz w:val="21"/>
        </w:rPr>
      </w:pPr>
      <w:r>
        <w:rPr>
          <w:rFonts w:hint="eastAsia" w:ascii="宋体" w:hAnsi="宋体"/>
          <w:sz w:val="21"/>
        </w:rPr>
        <w:t>表5</w:t>
      </w:r>
      <w:r>
        <w:rPr>
          <w:rFonts w:ascii="宋体" w:hAnsi="宋体"/>
          <w:sz w:val="21"/>
        </w:rPr>
        <w:t>.4</w:t>
      </w:r>
      <w:r>
        <w:rPr>
          <w:rFonts w:hint="eastAsia" w:ascii="宋体" w:hAnsi="宋体"/>
          <w:sz w:val="21"/>
        </w:rPr>
        <w:t>-</w:t>
      </w:r>
      <w:r>
        <w:rPr>
          <w:rFonts w:ascii="宋体" w:hAnsi="宋体"/>
          <w:sz w:val="21"/>
        </w:rPr>
        <w:t xml:space="preserve">1 </w:t>
      </w:r>
      <w:r>
        <w:rPr>
          <w:rFonts w:hint="eastAsia" w:ascii="宋体" w:hAnsi="宋体"/>
          <w:sz w:val="21"/>
        </w:rPr>
        <w:t>相关方安全培训教育记录表</w:t>
      </w:r>
    </w:p>
    <w:p>
      <w:pPr>
        <w:spacing w:after="120"/>
        <w:jc w:val="center"/>
        <w:rPr>
          <w:rFonts w:eastAsia="宋体" w:cs="Times New Roman"/>
          <w:sz w:val="28"/>
          <w:szCs w:val="20"/>
        </w:rPr>
      </w:pPr>
      <w:r>
        <w:rPr>
          <w:rFonts w:eastAsia="宋体" w:cs="Times New Roman"/>
          <w:sz w:val="28"/>
          <w:szCs w:val="20"/>
        </w:rPr>
        <w:drawing>
          <wp:inline distT="0" distB="0" distL="0" distR="0">
            <wp:extent cx="3310890" cy="1698625"/>
            <wp:effectExtent l="0" t="0" r="3810" b="0"/>
            <wp:docPr id="15445" name="图片 1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 name="图片 15445"/>
                    <pic:cNvPicPr>
                      <a:picLocks noChangeAspect="1"/>
                    </pic:cNvPicPr>
                  </pic:nvPicPr>
                  <pic:blipFill>
                    <a:blip r:embed="rId36"/>
                    <a:srcRect t="5602"/>
                    <a:stretch>
                      <a:fillRect/>
                    </a:stretch>
                  </pic:blipFill>
                  <pic:spPr>
                    <a:xfrm>
                      <a:off x="0" y="0"/>
                      <a:ext cx="3312000" cy="1699177"/>
                    </a:xfrm>
                    <a:prstGeom prst="rect">
                      <a:avLst/>
                    </a:prstGeom>
                    <a:ln>
                      <a:noFill/>
                    </a:ln>
                  </pic:spPr>
                </pic:pic>
              </a:graphicData>
            </a:graphic>
          </wp:inline>
        </w:drawing>
      </w:r>
    </w:p>
    <w:p>
      <w:pPr>
        <w:spacing w:line="360" w:lineRule="auto"/>
        <w:ind w:firstLine="480" w:firstLineChars="200"/>
        <w:rPr>
          <w:rFonts w:eastAsia="宋体" w:cs="Times New Roman"/>
          <w:sz w:val="24"/>
          <w:szCs w:val="21"/>
        </w:rPr>
      </w:pPr>
      <w:r>
        <w:rPr>
          <w:rFonts w:eastAsia="宋体" w:cs="Times New Roman"/>
          <w:sz w:val="24"/>
          <w:szCs w:val="21"/>
        </w:rPr>
        <w:t>（二）企业应对外来参观、学习等人员进行有关安全规定、可能接触到的危害及应急知识的教育和告知；</w:t>
      </w:r>
    </w:p>
    <w:p>
      <w:pPr>
        <w:spacing w:line="360" w:lineRule="auto"/>
        <w:ind w:firstLine="480" w:firstLineChars="200"/>
        <w:rPr>
          <w:rFonts w:eastAsia="宋体" w:cs="Times New Roman"/>
          <w:sz w:val="24"/>
          <w:szCs w:val="21"/>
        </w:rPr>
      </w:pPr>
      <w:r>
        <w:rPr>
          <w:rFonts w:eastAsia="宋体" w:cs="Times New Roman"/>
          <w:sz w:val="24"/>
          <w:szCs w:val="21"/>
        </w:rPr>
        <w:t>对外来参观、学习等人员进行有关安全规定、可能接触到的危害及应急知识等内容的安全教育和告知，并由专人带领。</w:t>
      </w:r>
      <w:r>
        <w:rPr>
          <w:rFonts w:hint="eastAsia" w:eastAsia="宋体" w:cs="Times New Roman"/>
          <w:sz w:val="24"/>
          <w:szCs w:val="21"/>
        </w:rPr>
        <w:t>见图5</w:t>
      </w:r>
      <w:r>
        <w:rPr>
          <w:rFonts w:eastAsia="宋体" w:cs="Times New Roman"/>
          <w:sz w:val="24"/>
          <w:szCs w:val="21"/>
        </w:rPr>
        <w:t xml:space="preserve">.4-2 </w:t>
      </w:r>
      <w:r>
        <w:rPr>
          <w:rFonts w:hint="eastAsia" w:eastAsia="宋体" w:cs="Times New Roman"/>
          <w:sz w:val="24"/>
          <w:szCs w:val="21"/>
        </w:rPr>
        <w:t>外来人员安全告知书</w:t>
      </w:r>
    </w:p>
    <w:p>
      <w:pPr>
        <w:spacing w:line="360" w:lineRule="auto"/>
        <w:jc w:val="center"/>
        <w:rPr>
          <w:rFonts w:eastAsia="宋体" w:cs="Times New Roman"/>
          <w:sz w:val="24"/>
          <w:szCs w:val="21"/>
        </w:rPr>
      </w:pPr>
      <w:r>
        <w:rPr>
          <w:rFonts w:eastAsia="宋体" w:cs="Times New Roman"/>
          <w:sz w:val="24"/>
          <w:szCs w:val="21"/>
        </w:rPr>
        <w:drawing>
          <wp:inline distT="0" distB="0" distL="0" distR="0">
            <wp:extent cx="1663065" cy="2239010"/>
            <wp:effectExtent l="0" t="0" r="0" b="8890"/>
            <wp:docPr id="15446" name="图片 1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 name="图片 15446"/>
                    <pic:cNvPicPr>
                      <a:picLocks noChangeAspect="1"/>
                    </pic:cNvPicPr>
                  </pic:nvPicPr>
                  <pic:blipFill>
                    <a:blip r:embed="rId37"/>
                    <a:stretch>
                      <a:fillRect/>
                    </a:stretch>
                  </pic:blipFill>
                  <pic:spPr>
                    <a:xfrm>
                      <a:off x="0" y="0"/>
                      <a:ext cx="1667310" cy="2244456"/>
                    </a:xfrm>
                    <a:prstGeom prst="rect">
                      <a:avLst/>
                    </a:prstGeom>
                  </pic:spPr>
                </pic:pic>
              </a:graphicData>
            </a:graphic>
          </wp:inline>
        </w:drawing>
      </w:r>
    </w:p>
    <w:p>
      <w:pPr>
        <w:pStyle w:val="2"/>
        <w:jc w:val="center"/>
        <w:rPr>
          <w:rFonts w:ascii="宋体" w:hAnsi="宋体"/>
          <w:sz w:val="21"/>
        </w:rPr>
      </w:pPr>
      <w:r>
        <w:rPr>
          <w:rFonts w:hint="eastAsia" w:ascii="宋体" w:hAnsi="宋体"/>
          <w:sz w:val="21"/>
        </w:rPr>
        <w:t>图5</w:t>
      </w:r>
      <w:r>
        <w:rPr>
          <w:rFonts w:ascii="宋体" w:hAnsi="宋体"/>
          <w:sz w:val="21"/>
        </w:rPr>
        <w:t xml:space="preserve">.4-2 </w:t>
      </w:r>
      <w:r>
        <w:rPr>
          <w:rFonts w:hint="eastAsia" w:ascii="宋体" w:hAnsi="宋体"/>
          <w:sz w:val="21"/>
        </w:rPr>
        <w:t>外来人员安全告知书</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五、安全文化建设</w:t>
      </w:r>
    </w:p>
    <w:p>
      <w:pPr>
        <w:spacing w:line="360" w:lineRule="auto"/>
        <w:ind w:firstLine="480" w:firstLineChars="200"/>
        <w:rPr>
          <w:rFonts w:eastAsia="宋体" w:cs="Times New Roman"/>
          <w:sz w:val="24"/>
          <w:szCs w:val="21"/>
        </w:rPr>
      </w:pPr>
      <w:r>
        <w:rPr>
          <w:rFonts w:eastAsia="宋体" w:cs="Times New Roman"/>
          <w:sz w:val="24"/>
          <w:szCs w:val="21"/>
        </w:rPr>
        <w:t>企业应通过安全文化建设，促进安全生产工作。企业应采取多种形式的安全文化活动，引导全体从业人员的安全态度和安全行为，逐步形成为全体员工所认同、共同遵守、带有本单位特点的安全价值观，实现法律和政府监管要求之上的安全自我约束，保障企业安全生产水平持续提高；</w:t>
      </w:r>
    </w:p>
    <w:p>
      <w:pPr>
        <w:spacing w:line="360" w:lineRule="auto"/>
        <w:ind w:firstLine="480" w:firstLineChars="200"/>
        <w:rPr>
          <w:rFonts w:eastAsia="宋体" w:cs="Times New Roman"/>
          <w:sz w:val="24"/>
          <w:szCs w:val="21"/>
        </w:rPr>
      </w:pPr>
      <w:r>
        <w:rPr>
          <w:rFonts w:eastAsia="宋体" w:cs="Times New Roman"/>
          <w:sz w:val="24"/>
          <w:szCs w:val="21"/>
        </w:rPr>
        <w:t>采取多种形式的活动来促进企业的安全文化建设，促进安全生产工作。</w:t>
      </w:r>
    </w:p>
    <w:p>
      <w:pPr>
        <w:pStyle w:val="2"/>
        <w:spacing w:line="360" w:lineRule="auto"/>
        <w:ind w:firstLine="482" w:firstLineChars="200"/>
        <w:rPr>
          <w:sz w:val="24"/>
          <w:szCs w:val="21"/>
        </w:rPr>
      </w:pPr>
      <w:r>
        <w:rPr>
          <w:rFonts w:hint="eastAsia"/>
          <w:b/>
          <w:sz w:val="24"/>
          <w:szCs w:val="21"/>
        </w:rPr>
        <w:t>释义</w:t>
      </w:r>
      <w:r>
        <w:rPr>
          <w:rFonts w:hint="eastAsia"/>
          <w:sz w:val="24"/>
          <w:szCs w:val="21"/>
        </w:rPr>
        <w:t>：根据《企业安全文化建设导则》</w:t>
      </w:r>
      <w:r>
        <w:rPr>
          <w:sz w:val="24"/>
          <w:szCs w:val="21"/>
        </w:rPr>
        <w:t>AQ/T 9004-2008</w:t>
      </w:r>
      <w:r>
        <w:rPr>
          <w:rFonts w:hint="eastAsia"/>
          <w:sz w:val="24"/>
          <w:szCs w:val="21"/>
        </w:rPr>
        <w:t>，成立组织，系统策划，查漏补缺，计划推进。通过综合的组织管理等手段，使得企业的安全文化不断进步和发展的过程。</w:t>
      </w:r>
    </w:p>
    <w:p>
      <w:pPr>
        <w:adjustRightInd w:val="0"/>
        <w:snapToGrid w:val="0"/>
        <w:spacing w:line="360" w:lineRule="auto"/>
        <w:contextualSpacing/>
        <w:jc w:val="center"/>
        <w:outlineLvl w:val="0"/>
        <w:rPr>
          <w:rFonts w:eastAsia="黑体" w:cs="Times New Roman"/>
          <w:sz w:val="28"/>
          <w:szCs w:val="28"/>
        </w:rPr>
      </w:pPr>
      <w:bookmarkStart w:id="13" w:name="_Toc23966"/>
      <w:r>
        <w:rPr>
          <w:rFonts w:eastAsia="黑体" w:cs="Times New Roman"/>
          <w:sz w:val="28"/>
          <w:szCs w:val="28"/>
        </w:rPr>
        <w:t>第六章 生产设备设施</w:t>
      </w:r>
      <w:bookmarkEnd w:id="13"/>
    </w:p>
    <w:p>
      <w:pPr>
        <w:adjustRightInd w:val="0"/>
        <w:snapToGrid w:val="0"/>
        <w:spacing w:line="360" w:lineRule="auto"/>
        <w:ind w:firstLine="482" w:firstLineChars="200"/>
        <w:contextualSpacing/>
        <w:jc w:val="left"/>
        <w:outlineLvl w:val="1"/>
        <w:rPr>
          <w:rFonts w:eastAsia="宋体" w:cs="Times New Roman"/>
          <w:b/>
          <w:bCs/>
          <w:sz w:val="24"/>
        </w:rPr>
      </w:pPr>
      <w:r>
        <w:rPr>
          <w:rFonts w:eastAsia="宋体" w:cs="Times New Roman"/>
          <w:b/>
          <w:bCs/>
          <w:sz w:val="24"/>
        </w:rPr>
        <w:t>一、生产设备设施建设</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（一）企业建设项目的所有设备设施应符合有关法律法规、标准规范要求；安全设备设施应与建设项目主体工程同时设计、同时施工、同时投入生产和使用；</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1.建立新、改、扩建工程“三同时”管理制度。</w:t>
      </w:r>
    </w:p>
    <w:p>
      <w:pPr>
        <w:adjustRightInd w:val="0"/>
        <w:snapToGrid w:val="0"/>
        <w:spacing w:line="360" w:lineRule="auto"/>
        <w:ind w:firstLine="482" w:firstLineChars="200"/>
        <w:contextualSpacing/>
        <w:jc w:val="left"/>
        <w:rPr>
          <w:rFonts w:eastAsia="宋体" w:cs="Times New Roman"/>
          <w:sz w:val="24"/>
        </w:rPr>
      </w:pPr>
      <w:r>
        <w:rPr>
          <w:rFonts w:hint="eastAsia" w:eastAsia="宋体" w:cs="Times New Roman"/>
          <w:b/>
          <w:sz w:val="24"/>
          <w:szCs w:val="18"/>
        </w:rPr>
        <w:t>释义</w:t>
      </w:r>
      <w:r>
        <w:rPr>
          <w:rFonts w:eastAsia="宋体" w:cs="Times New Roman"/>
          <w:sz w:val="24"/>
          <w:szCs w:val="18"/>
        </w:rPr>
        <w:t>：</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exact"/>
        </w:trPr>
        <w:tc>
          <w:tcPr>
            <w:tcW w:w="5000" w:type="pct"/>
            <w:gridSpan w:val="2"/>
          </w:tcPr>
          <w:p>
            <w:pPr>
              <w:jc w:val="center"/>
              <w:rPr>
                <w:rFonts w:eastAsia="宋体" w:cs="Times New Roman"/>
                <w:sz w:val="21"/>
                <w:szCs w:val="21"/>
              </w:rPr>
            </w:pPr>
            <w:r>
              <w:rPr>
                <w:rFonts w:eastAsia="宋体" w:cs="Times New Roman"/>
                <w:sz w:val="21"/>
                <w:szCs w:val="21"/>
              </w:rPr>
              <w:t>新、改、扩建工程“三同时”管理制度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0" w:hRule="exact"/>
        </w:trPr>
        <w:tc>
          <w:tcPr>
            <w:tcW w:w="2500" w:type="pct"/>
          </w:tcPr>
          <w:p>
            <w:pPr>
              <w:rPr>
                <w:rFonts w:eastAsia="宋体" w:cs="Times New Roman"/>
                <w:sz w:val="21"/>
                <w:szCs w:val="21"/>
              </w:rPr>
            </w:pPr>
            <w:r>
              <w:rPr>
                <w:rFonts w:eastAsia="宋体" w:cs="Times New Roman"/>
                <w:sz w:val="21"/>
                <w:szCs w:val="21"/>
              </w:rPr>
              <w:t>1目的</w:t>
            </w:r>
          </w:p>
          <w:p>
            <w:pPr>
              <w:rPr>
                <w:rFonts w:eastAsia="宋体" w:cs="Times New Roman"/>
                <w:sz w:val="21"/>
                <w:szCs w:val="21"/>
              </w:rPr>
            </w:pPr>
            <w:r>
              <w:rPr>
                <w:rFonts w:eastAsia="宋体" w:cs="Times New Roman"/>
                <w:sz w:val="21"/>
                <w:szCs w:val="21"/>
              </w:rPr>
              <w:t>2职责</w:t>
            </w:r>
          </w:p>
          <w:p>
            <w:pPr>
              <w:rPr>
                <w:rFonts w:eastAsia="宋体" w:cs="Times New Roman"/>
                <w:sz w:val="21"/>
                <w:szCs w:val="21"/>
              </w:rPr>
            </w:pPr>
            <w:r>
              <w:rPr>
                <w:rFonts w:eastAsia="宋体" w:cs="Times New Roman"/>
                <w:sz w:val="21"/>
                <w:szCs w:val="21"/>
              </w:rPr>
              <w:t>3  安全生产条件和设施综合分析</w:t>
            </w:r>
          </w:p>
          <w:p>
            <w:pPr>
              <w:rPr>
                <w:rFonts w:eastAsia="宋体" w:cs="Times New Roman"/>
                <w:sz w:val="21"/>
                <w:szCs w:val="21"/>
              </w:rPr>
            </w:pPr>
            <w:r>
              <w:rPr>
                <w:rFonts w:eastAsia="宋体" w:cs="Times New Roman"/>
                <w:sz w:val="21"/>
                <w:szCs w:val="21"/>
              </w:rPr>
              <w:t>如本公司有新建、改建、扩建项目，本公司应当对项目的安全条件和设施进行综合分析，形成书面报告备查。</w:t>
            </w:r>
          </w:p>
          <w:p>
            <w:pPr>
              <w:rPr>
                <w:rFonts w:eastAsia="宋体" w:cs="Times New Roman"/>
                <w:sz w:val="21"/>
                <w:szCs w:val="21"/>
              </w:rPr>
            </w:pPr>
            <w:r>
              <w:rPr>
                <w:rFonts w:eastAsia="宋体" w:cs="Times New Roman"/>
                <w:sz w:val="21"/>
                <w:szCs w:val="21"/>
              </w:rPr>
              <w:t>4 安全设施设计</w:t>
            </w:r>
          </w:p>
          <w:p>
            <w:pPr>
              <w:rPr>
                <w:rFonts w:eastAsia="宋体" w:cs="Times New Roman"/>
                <w:sz w:val="21"/>
                <w:szCs w:val="21"/>
              </w:rPr>
            </w:pPr>
            <w:r>
              <w:rPr>
                <w:rFonts w:eastAsia="宋体" w:cs="Times New Roman"/>
                <w:sz w:val="21"/>
                <w:szCs w:val="21"/>
              </w:rPr>
              <w:t>5 建设项目安全设施施工和竣工验收</w:t>
            </w:r>
          </w:p>
        </w:tc>
        <w:tc>
          <w:tcPr>
            <w:tcW w:w="2500" w:type="pct"/>
          </w:tcPr>
          <w:p>
            <w:pPr>
              <w:rPr>
                <w:rFonts w:eastAsia="宋体" w:cs="Times New Roman"/>
                <w:sz w:val="21"/>
                <w:szCs w:val="21"/>
              </w:rPr>
            </w:pPr>
            <w:r>
              <w:rPr>
                <w:rFonts w:eastAsia="宋体" w:cs="Times New Roman"/>
                <w:sz w:val="21"/>
                <w:szCs w:val="21"/>
              </w:rPr>
              <w:t>6  公司应当按照档案管理的规定，建立建设项目安全设施“三同时”文件资料档案，并妥善保存。</w:t>
            </w:r>
          </w:p>
          <w:p>
            <w:pPr>
              <w:rPr>
                <w:rFonts w:eastAsia="宋体" w:cs="Times New Roman"/>
                <w:sz w:val="21"/>
                <w:szCs w:val="21"/>
              </w:rPr>
            </w:pPr>
            <w:r>
              <w:rPr>
                <w:rFonts w:eastAsia="宋体" w:cs="Times New Roman"/>
                <w:sz w:val="21"/>
                <w:szCs w:val="21"/>
              </w:rPr>
              <w:t>7 档案资料</w:t>
            </w:r>
          </w:p>
          <w:p>
            <w:pPr>
              <w:rPr>
                <w:rFonts w:eastAsia="宋体" w:cs="Times New Roman"/>
                <w:sz w:val="21"/>
                <w:szCs w:val="21"/>
              </w:rPr>
            </w:pPr>
            <w:r>
              <w:rPr>
                <w:rFonts w:eastAsia="宋体" w:cs="Times New Roman"/>
                <w:sz w:val="21"/>
                <w:szCs w:val="21"/>
              </w:rPr>
              <w:t>（1）安全条件和设施综合分析报告</w:t>
            </w:r>
          </w:p>
          <w:p>
            <w:pPr>
              <w:rPr>
                <w:rFonts w:eastAsia="宋体" w:cs="Times New Roman"/>
                <w:sz w:val="21"/>
                <w:szCs w:val="21"/>
              </w:rPr>
            </w:pPr>
            <w:r>
              <w:rPr>
                <w:rFonts w:eastAsia="宋体" w:cs="Times New Roman"/>
                <w:sz w:val="21"/>
                <w:szCs w:val="21"/>
              </w:rPr>
              <w:t>（2）安全设施设计</w:t>
            </w:r>
          </w:p>
          <w:p>
            <w:pPr>
              <w:rPr>
                <w:rFonts w:eastAsia="宋体" w:cs="Times New Roman"/>
                <w:sz w:val="21"/>
                <w:szCs w:val="21"/>
              </w:rPr>
            </w:pPr>
            <w:r>
              <w:rPr>
                <w:rFonts w:eastAsia="宋体" w:cs="Times New Roman"/>
                <w:sz w:val="21"/>
                <w:szCs w:val="21"/>
              </w:rPr>
              <w:t>（3）建设项目施工情况报告</w:t>
            </w:r>
          </w:p>
          <w:p>
            <w:pPr>
              <w:rPr>
                <w:rFonts w:eastAsia="宋体" w:cs="Times New Roman"/>
                <w:sz w:val="21"/>
                <w:szCs w:val="21"/>
              </w:rPr>
            </w:pPr>
            <w:r>
              <w:rPr>
                <w:rFonts w:eastAsia="宋体" w:cs="Times New Roman"/>
                <w:sz w:val="21"/>
                <w:szCs w:val="21"/>
              </w:rPr>
              <w:t>（4）安全设施竣工验收报告</w:t>
            </w:r>
          </w:p>
        </w:tc>
      </w:tr>
    </w:tbl>
    <w:p>
      <w:pPr>
        <w:spacing w:after="120"/>
        <w:jc w:val="center"/>
        <w:rPr>
          <w:rFonts w:eastAsia="宋体" w:cs="Times New Roman"/>
          <w:sz w:val="21"/>
          <w:szCs w:val="21"/>
        </w:rPr>
      </w:pPr>
      <w:r>
        <w:rPr>
          <w:rFonts w:eastAsia="宋体" w:cs="Times New Roman"/>
          <w:sz w:val="21"/>
          <w:szCs w:val="21"/>
        </w:rPr>
        <w:t>图6.1-1“三同时”管理制度示例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2.新、改、扩建工程的安全设施、职业病防护措施应与建设项目主体工程同时设计、同时施工、同时投入生产和使用。</w:t>
      </w:r>
    </w:p>
    <w:p>
      <w:pPr>
        <w:adjustRightInd w:val="0"/>
        <w:snapToGrid w:val="0"/>
        <w:spacing w:line="360" w:lineRule="auto"/>
        <w:ind w:firstLine="480" w:firstLineChars="200"/>
        <w:contextualSpacing/>
        <w:jc w:val="left"/>
        <w:rPr>
          <w:rFonts w:eastAsia="宋体" w:cs="Times New Roman"/>
          <w:sz w:val="24"/>
          <w:szCs w:val="18"/>
        </w:rPr>
      </w:pPr>
    </w:p>
    <w:p>
      <w:pPr>
        <w:adjustRightInd w:val="0"/>
        <w:snapToGrid w:val="0"/>
        <w:spacing w:line="360" w:lineRule="auto"/>
        <w:ind w:firstLine="480" w:firstLineChars="200"/>
        <w:contextualSpacing/>
        <w:jc w:val="left"/>
        <w:rPr>
          <w:rFonts w:eastAsia="宋体" w:cs="Times New Roman"/>
          <w:sz w:val="24"/>
          <w:szCs w:val="18"/>
        </w:rPr>
      </w:pPr>
    </w:p>
    <w:p>
      <w:pPr>
        <w:adjustRightInd w:val="0"/>
        <w:snapToGrid w:val="0"/>
        <w:spacing w:line="360" w:lineRule="auto"/>
        <w:ind w:firstLine="482" w:firstLineChars="200"/>
        <w:contextualSpacing/>
        <w:jc w:val="left"/>
      </w:pPr>
      <w:r>
        <w:rPr>
          <w:rFonts w:hint="eastAsia" w:eastAsia="宋体" w:cs="Times New Roman"/>
          <w:b/>
          <w:sz w:val="24"/>
          <w:szCs w:val="18"/>
        </w:rPr>
        <w:t>释义</w:t>
      </w:r>
      <w:r>
        <w:rPr>
          <w:rFonts w:hint="eastAsia" w:eastAsia="宋体" w:cs="Times New Roman"/>
          <w:sz w:val="24"/>
          <w:szCs w:val="18"/>
        </w:rPr>
        <w:t>：</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6"/>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pStyle w:val="2"/>
              <w:jc w:val="center"/>
            </w:pPr>
            <w:r>
              <w:rPr>
                <w:sz w:val="21"/>
                <w:szCs w:val="15"/>
              </w:rPr>
              <w:t>安全生产条件和设施综合分析报告格式</w:t>
            </w:r>
          </w:p>
        </w:tc>
        <w:tc>
          <w:tcPr>
            <w:tcW w:w="3057" w:type="dxa"/>
          </w:tcPr>
          <w:p>
            <w:pPr>
              <w:jc w:val="center"/>
              <w:rPr>
                <w:rFonts w:eastAsia="宋体" w:cs="Times New Roman"/>
                <w:sz w:val="21"/>
                <w:szCs w:val="21"/>
              </w:rPr>
            </w:pPr>
            <w:r>
              <w:rPr>
                <w:rFonts w:eastAsia="宋体" w:cs="Times New Roman"/>
                <w:sz w:val="21"/>
                <w:szCs w:val="21"/>
              </w:rPr>
              <w:t>安全生产条件和设施综合分析具体要求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jc w:val="center"/>
              <w:rPr>
                <w:rFonts w:eastAsia="宋体" w:cs="Times New Roman"/>
                <w:sz w:val="21"/>
                <w:szCs w:val="21"/>
              </w:rPr>
            </w:pPr>
            <w:r>
              <w:rPr>
                <w:rFonts w:eastAsia="宋体" w:cs="Times New Roman"/>
                <w:sz w:val="21"/>
                <w:szCs w:val="21"/>
              </w:rPr>
              <w:t>XXXXXXXX公司</w:t>
            </w:r>
          </w:p>
          <w:p>
            <w:pPr>
              <w:pStyle w:val="2"/>
              <w:spacing w:after="0"/>
              <w:rPr>
                <w:sz w:val="21"/>
                <w:szCs w:val="21"/>
              </w:rPr>
            </w:pPr>
          </w:p>
          <w:p>
            <w:pPr>
              <w:pStyle w:val="2"/>
              <w:spacing w:after="0"/>
              <w:jc w:val="center"/>
              <w:rPr>
                <w:sz w:val="21"/>
                <w:szCs w:val="21"/>
              </w:rPr>
            </w:pPr>
            <w:r>
              <w:rPr>
                <w:sz w:val="21"/>
                <w:szCs w:val="21"/>
              </w:rPr>
              <w:t>XXXXXXXX项目</w:t>
            </w:r>
          </w:p>
          <w:p>
            <w:pPr>
              <w:pStyle w:val="2"/>
              <w:spacing w:after="0"/>
              <w:jc w:val="center"/>
              <w:rPr>
                <w:sz w:val="21"/>
                <w:szCs w:val="21"/>
              </w:rPr>
            </w:pPr>
          </w:p>
          <w:p>
            <w:pPr>
              <w:pStyle w:val="2"/>
              <w:spacing w:after="0"/>
              <w:jc w:val="center"/>
              <w:rPr>
                <w:sz w:val="21"/>
                <w:szCs w:val="21"/>
              </w:rPr>
            </w:pPr>
            <w:r>
              <w:rPr>
                <w:sz w:val="21"/>
                <w:szCs w:val="21"/>
              </w:rPr>
              <w:t>安全生产条件和设施综合分析报告</w:t>
            </w:r>
          </w:p>
          <w:p>
            <w:pPr>
              <w:pStyle w:val="2"/>
              <w:spacing w:after="0"/>
              <w:rPr>
                <w:sz w:val="21"/>
                <w:szCs w:val="21"/>
              </w:rPr>
            </w:pPr>
          </w:p>
          <w:p>
            <w:pPr>
              <w:pStyle w:val="2"/>
              <w:spacing w:after="0"/>
              <w:ind w:firstLine="420" w:firstLineChars="200"/>
              <w:rPr>
                <w:sz w:val="21"/>
                <w:szCs w:val="21"/>
              </w:rPr>
            </w:pPr>
            <w:r>
              <w:rPr>
                <w:sz w:val="21"/>
                <w:szCs w:val="21"/>
              </w:rPr>
              <w:t>建设单位：XXXX</w:t>
            </w:r>
          </w:p>
          <w:p>
            <w:pPr>
              <w:pStyle w:val="2"/>
              <w:spacing w:after="0"/>
              <w:jc w:val="center"/>
              <w:rPr>
                <w:sz w:val="21"/>
                <w:szCs w:val="21"/>
              </w:rPr>
            </w:pPr>
            <w:r>
              <w:rPr>
                <w:sz w:val="21"/>
                <w:szCs w:val="21"/>
              </w:rPr>
              <w:t xml:space="preserve">    建设单位法定代表人:XXX</w:t>
            </w:r>
          </w:p>
          <w:p>
            <w:pPr>
              <w:pStyle w:val="2"/>
              <w:spacing w:after="0"/>
              <w:jc w:val="center"/>
              <w:rPr>
                <w:sz w:val="21"/>
                <w:szCs w:val="21"/>
              </w:rPr>
            </w:pPr>
            <w:r>
              <w:rPr>
                <w:sz w:val="21"/>
                <w:szCs w:val="21"/>
              </w:rPr>
              <w:t xml:space="preserve"> 建设单位联系人：XXX</w:t>
            </w:r>
          </w:p>
          <w:p>
            <w:pPr>
              <w:pStyle w:val="2"/>
              <w:spacing w:after="0"/>
              <w:jc w:val="center"/>
              <w:rPr>
                <w:sz w:val="21"/>
                <w:szCs w:val="21"/>
              </w:rPr>
            </w:pPr>
            <w:r>
              <w:rPr>
                <w:sz w:val="21"/>
                <w:szCs w:val="21"/>
              </w:rPr>
              <w:t xml:space="preserve">    建设单位联系方式：XXXXX</w:t>
            </w:r>
          </w:p>
          <w:p>
            <w:pPr>
              <w:pStyle w:val="2"/>
              <w:spacing w:after="0"/>
              <w:jc w:val="center"/>
              <w:rPr>
                <w:sz w:val="21"/>
                <w:szCs w:val="21"/>
              </w:rPr>
            </w:pPr>
          </w:p>
          <w:p>
            <w:pPr>
              <w:pStyle w:val="2"/>
              <w:spacing w:after="0"/>
              <w:jc w:val="right"/>
              <w:rPr>
                <w:sz w:val="21"/>
                <w:szCs w:val="21"/>
              </w:rPr>
            </w:pPr>
            <w:r>
              <w:rPr>
                <w:sz w:val="21"/>
                <w:szCs w:val="21"/>
              </w:rPr>
              <w:t>（建设单位公章）</w:t>
            </w:r>
          </w:p>
          <w:p>
            <w:pPr>
              <w:pStyle w:val="2"/>
              <w:spacing w:after="0"/>
              <w:jc w:val="right"/>
              <w:rPr>
                <w:sz w:val="21"/>
                <w:szCs w:val="21"/>
              </w:rPr>
            </w:pPr>
            <w:r>
              <w:rPr>
                <w:sz w:val="21"/>
                <w:szCs w:val="21"/>
              </w:rPr>
              <w:t>XXXX年ＸＸ月XX日</w:t>
            </w:r>
          </w:p>
        </w:tc>
        <w:tc>
          <w:tcPr>
            <w:tcW w:w="3057" w:type="dxa"/>
          </w:tcPr>
          <w:p>
            <w:pPr>
              <w:rPr>
                <w:rFonts w:eastAsia="宋体" w:cs="Times New Roman"/>
                <w:sz w:val="21"/>
                <w:szCs w:val="21"/>
              </w:rPr>
            </w:pPr>
            <w:r>
              <w:rPr>
                <w:rFonts w:eastAsia="宋体" w:cs="Times New Roman"/>
                <w:sz w:val="21"/>
                <w:szCs w:val="21"/>
              </w:rPr>
              <w:t>目的：为确保项目的安全设施与主体工程“同时设计、同时施工、同时投产使用”，实现“安全第一，预防为主，综合治理”的安全生产方针。</w:t>
            </w:r>
          </w:p>
          <w:p>
            <w:pPr>
              <w:pStyle w:val="2"/>
              <w:spacing w:after="0"/>
              <w:rPr>
                <w:sz w:val="21"/>
                <w:szCs w:val="21"/>
              </w:rPr>
            </w:pPr>
          </w:p>
          <w:p>
            <w:pPr>
              <w:rPr>
                <w:rFonts w:eastAsia="宋体" w:cs="Times New Roman"/>
                <w:sz w:val="21"/>
                <w:szCs w:val="21"/>
              </w:rPr>
            </w:pPr>
            <w:r>
              <w:rPr>
                <w:rFonts w:eastAsia="宋体" w:cs="Times New Roman"/>
                <w:sz w:val="21"/>
                <w:szCs w:val="21"/>
              </w:rPr>
              <w:t>范围：包括建设项目生产装置、储存设施、公用辅助工程设施、选址、外部条件、总图布置、管理及人员条件。</w:t>
            </w:r>
          </w:p>
          <w:p>
            <w:pPr>
              <w:rPr>
                <w:rFonts w:eastAsia="宋体" w:cs="Times New Roman"/>
                <w:sz w:val="21"/>
                <w:szCs w:val="21"/>
              </w:rPr>
            </w:pPr>
          </w:p>
          <w:p>
            <w:pPr>
              <w:pStyle w:val="2"/>
              <w:spacing w:after="0"/>
              <w:rPr>
                <w:sz w:val="21"/>
                <w:szCs w:val="21"/>
              </w:rPr>
            </w:pPr>
            <w:r>
              <w:rPr>
                <w:sz w:val="21"/>
                <w:szCs w:val="21"/>
              </w:rPr>
              <w:t>时间节点：需在建设项目取得投资项目备案证后，项目施工前对建设项目开展安全生产条件和设施综合分析。</w:t>
            </w:r>
          </w:p>
        </w:tc>
      </w:tr>
    </w:tbl>
    <w:p>
      <w:pPr>
        <w:spacing w:after="120"/>
        <w:jc w:val="center"/>
        <w:rPr>
          <w:rFonts w:eastAsia="宋体" w:cs="Times New Roman"/>
          <w:sz w:val="21"/>
          <w:szCs w:val="21"/>
        </w:rPr>
      </w:pPr>
      <w:r>
        <w:rPr>
          <w:rFonts w:eastAsia="宋体" w:cs="Times New Roman"/>
          <w:sz w:val="21"/>
          <w:szCs w:val="21"/>
        </w:rPr>
        <w:t>图6.1-2安全生产条件和设施综合分析报告示例</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6"/>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pStyle w:val="2"/>
              <w:spacing w:after="0"/>
              <w:jc w:val="center"/>
              <w:rPr>
                <w:rFonts w:ascii="宋体" w:hAnsi="宋体"/>
                <w:sz w:val="21"/>
                <w:szCs w:val="21"/>
              </w:rPr>
            </w:pPr>
            <w:r>
              <w:rPr>
                <w:rFonts w:hint="eastAsia" w:ascii="宋体" w:hAnsi="宋体"/>
                <w:sz w:val="21"/>
                <w:szCs w:val="21"/>
              </w:rPr>
              <w:t>安全设施设计报告格式</w:t>
            </w:r>
          </w:p>
        </w:tc>
        <w:tc>
          <w:tcPr>
            <w:tcW w:w="3057" w:type="dxa"/>
          </w:tcPr>
          <w:p>
            <w:pPr>
              <w:pStyle w:val="2"/>
              <w:spacing w:after="0"/>
              <w:jc w:val="center"/>
              <w:rPr>
                <w:rFonts w:ascii="宋体" w:hAnsi="宋体"/>
                <w:sz w:val="21"/>
                <w:szCs w:val="21"/>
              </w:rPr>
            </w:pPr>
            <w:r>
              <w:rPr>
                <w:rFonts w:hint="eastAsia" w:ascii="宋体" w:hAnsi="宋体"/>
                <w:sz w:val="21"/>
                <w:szCs w:val="21"/>
              </w:rPr>
              <w:t>安全设施设计具体要求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jc w:val="center"/>
              <w:rPr>
                <w:rFonts w:ascii="宋体" w:hAnsi="宋体" w:eastAsia="宋体"/>
                <w:sz w:val="21"/>
                <w:szCs w:val="21"/>
              </w:rPr>
            </w:pPr>
            <w:r>
              <w:rPr>
                <w:rFonts w:hint="eastAsia" w:ascii="宋体" w:hAnsi="宋体" w:eastAsia="宋体"/>
                <w:sz w:val="21"/>
                <w:szCs w:val="21"/>
              </w:rPr>
              <w:t>X</w:t>
            </w:r>
            <w:r>
              <w:rPr>
                <w:rFonts w:ascii="宋体" w:hAnsi="宋体" w:eastAsia="宋体"/>
                <w:sz w:val="21"/>
                <w:szCs w:val="21"/>
              </w:rPr>
              <w:t>XXXXXXX公司</w:t>
            </w:r>
          </w:p>
          <w:p>
            <w:pPr>
              <w:rPr>
                <w:rFonts w:ascii="宋体" w:hAnsi="宋体" w:eastAsia="宋体"/>
                <w:sz w:val="21"/>
                <w:szCs w:val="21"/>
              </w:rPr>
            </w:pPr>
          </w:p>
          <w:p>
            <w:pPr>
              <w:jc w:val="center"/>
              <w:rPr>
                <w:rFonts w:ascii="宋体" w:hAnsi="宋体" w:eastAsia="宋体"/>
                <w:sz w:val="21"/>
                <w:szCs w:val="21"/>
              </w:rPr>
            </w:pPr>
            <w:r>
              <w:rPr>
                <w:rFonts w:ascii="宋体" w:hAnsi="宋体" w:eastAsia="宋体"/>
                <w:sz w:val="21"/>
                <w:szCs w:val="21"/>
              </w:rPr>
              <w:t>XXXXXXXX项目</w:t>
            </w:r>
          </w:p>
          <w:p>
            <w:pPr>
              <w:rPr>
                <w:rFonts w:ascii="宋体" w:hAnsi="宋体" w:eastAsia="宋体"/>
                <w:sz w:val="21"/>
                <w:szCs w:val="21"/>
              </w:rPr>
            </w:pPr>
          </w:p>
          <w:p>
            <w:pPr>
              <w:jc w:val="center"/>
              <w:rPr>
                <w:rFonts w:ascii="宋体" w:hAnsi="宋体" w:eastAsia="宋体"/>
                <w:sz w:val="21"/>
                <w:szCs w:val="21"/>
              </w:rPr>
            </w:pPr>
            <w:r>
              <w:rPr>
                <w:rFonts w:hint="eastAsia" w:ascii="宋体" w:hAnsi="宋体" w:eastAsia="宋体"/>
                <w:sz w:val="21"/>
                <w:szCs w:val="21"/>
              </w:rPr>
              <w:t>编号：XXXX</w:t>
            </w:r>
          </w:p>
          <w:p>
            <w:pPr>
              <w:jc w:val="center"/>
              <w:rPr>
                <w:rFonts w:ascii="宋体" w:hAnsi="宋体" w:eastAsia="宋体"/>
                <w:sz w:val="21"/>
                <w:szCs w:val="21"/>
              </w:rPr>
            </w:pPr>
          </w:p>
          <w:p>
            <w:pPr>
              <w:jc w:val="center"/>
              <w:rPr>
                <w:rFonts w:ascii="宋体" w:hAnsi="宋体" w:eastAsia="宋体"/>
                <w:b/>
                <w:bCs/>
                <w:sz w:val="21"/>
                <w:szCs w:val="21"/>
              </w:rPr>
            </w:pPr>
            <w:r>
              <w:rPr>
                <w:rFonts w:hint="eastAsia" w:ascii="宋体" w:hAnsi="宋体" w:eastAsia="宋体"/>
                <w:b/>
                <w:bCs/>
                <w:sz w:val="21"/>
                <w:szCs w:val="21"/>
              </w:rPr>
              <w:t>安全设施设计</w:t>
            </w:r>
          </w:p>
          <w:p>
            <w:pPr>
              <w:rPr>
                <w:rFonts w:ascii="宋体" w:hAnsi="宋体" w:eastAsia="宋体"/>
                <w:sz w:val="21"/>
                <w:szCs w:val="21"/>
              </w:rPr>
            </w:pPr>
          </w:p>
          <w:p>
            <w:pPr>
              <w:ind w:firstLine="420" w:firstLineChars="200"/>
              <w:rPr>
                <w:rFonts w:ascii="宋体" w:hAnsi="宋体" w:eastAsia="宋体"/>
                <w:sz w:val="21"/>
                <w:szCs w:val="21"/>
              </w:rPr>
            </w:pPr>
            <w:r>
              <w:rPr>
                <w:rFonts w:ascii="宋体" w:hAnsi="宋体" w:eastAsia="宋体"/>
                <w:sz w:val="21"/>
                <w:szCs w:val="21"/>
              </w:rPr>
              <w:t>建设单位：</w:t>
            </w:r>
            <w:r>
              <w:rPr>
                <w:rFonts w:hint="eastAsia" w:ascii="宋体" w:hAnsi="宋体" w:eastAsia="宋体"/>
                <w:sz w:val="21"/>
                <w:szCs w:val="21"/>
              </w:rPr>
              <w:t>XXXX</w:t>
            </w:r>
          </w:p>
          <w:p>
            <w:pPr>
              <w:jc w:val="center"/>
              <w:rPr>
                <w:rFonts w:ascii="宋体" w:hAnsi="宋体" w:eastAsia="宋体"/>
                <w:sz w:val="21"/>
                <w:szCs w:val="21"/>
              </w:rPr>
            </w:pPr>
            <w:r>
              <w:rPr>
                <w:rFonts w:hint="eastAsia" w:ascii="宋体" w:hAnsi="宋体" w:eastAsia="宋体"/>
                <w:sz w:val="21"/>
                <w:szCs w:val="21"/>
              </w:rPr>
              <w:t xml:space="preserve"> </w:t>
            </w:r>
            <w:r>
              <w:rPr>
                <w:rFonts w:ascii="宋体" w:hAnsi="宋体" w:eastAsia="宋体"/>
                <w:sz w:val="21"/>
                <w:szCs w:val="21"/>
              </w:rPr>
              <w:t xml:space="preserve">   </w:t>
            </w:r>
            <w:r>
              <w:rPr>
                <w:rFonts w:hint="eastAsia" w:ascii="宋体" w:hAnsi="宋体" w:eastAsia="宋体"/>
                <w:sz w:val="21"/>
                <w:szCs w:val="21"/>
              </w:rPr>
              <w:t>建设单位法定代表人:</w:t>
            </w:r>
            <w:r>
              <w:rPr>
                <w:rFonts w:ascii="宋体" w:hAnsi="宋体" w:eastAsia="宋体"/>
                <w:sz w:val="21"/>
                <w:szCs w:val="21"/>
              </w:rPr>
              <w:t>XXX</w:t>
            </w:r>
          </w:p>
          <w:p>
            <w:pPr>
              <w:jc w:val="center"/>
              <w:rPr>
                <w:rFonts w:ascii="宋体" w:hAnsi="宋体" w:eastAsia="宋体"/>
                <w:sz w:val="21"/>
                <w:szCs w:val="21"/>
              </w:rPr>
            </w:pPr>
            <w:r>
              <w:rPr>
                <w:rFonts w:hint="eastAsia" w:ascii="宋体" w:hAnsi="宋体" w:eastAsia="宋体"/>
                <w:sz w:val="21"/>
                <w:szCs w:val="21"/>
              </w:rPr>
              <w:t xml:space="preserve"> 建设单位联系人：XXX</w:t>
            </w:r>
          </w:p>
          <w:p>
            <w:pPr>
              <w:jc w:val="center"/>
              <w:rPr>
                <w:rFonts w:ascii="宋体" w:hAnsi="宋体" w:eastAsia="宋体"/>
                <w:sz w:val="21"/>
                <w:szCs w:val="21"/>
              </w:rPr>
            </w:pPr>
            <w:r>
              <w:rPr>
                <w:rFonts w:ascii="宋体" w:hAnsi="宋体" w:eastAsia="宋体"/>
                <w:sz w:val="21"/>
                <w:szCs w:val="21"/>
              </w:rPr>
              <w:t xml:space="preserve">    </w:t>
            </w:r>
            <w:r>
              <w:rPr>
                <w:rFonts w:hint="eastAsia" w:ascii="宋体" w:hAnsi="宋体" w:eastAsia="宋体"/>
                <w:sz w:val="21"/>
                <w:szCs w:val="21"/>
              </w:rPr>
              <w:t>建设单位联系方式：XXXXX</w:t>
            </w:r>
          </w:p>
          <w:p>
            <w:pPr>
              <w:jc w:val="center"/>
              <w:rPr>
                <w:rFonts w:ascii="宋体" w:hAnsi="宋体" w:eastAsia="宋体"/>
                <w:sz w:val="21"/>
                <w:szCs w:val="21"/>
              </w:rPr>
            </w:pPr>
          </w:p>
          <w:p>
            <w:pPr>
              <w:rPr>
                <w:rFonts w:ascii="宋体" w:hAnsi="宋体" w:eastAsia="宋体"/>
                <w:sz w:val="21"/>
                <w:szCs w:val="21"/>
              </w:rPr>
            </w:pPr>
          </w:p>
          <w:p>
            <w:pPr>
              <w:jc w:val="right"/>
              <w:rPr>
                <w:rFonts w:ascii="宋体" w:hAnsi="宋体" w:eastAsia="宋体"/>
                <w:sz w:val="21"/>
                <w:szCs w:val="21"/>
              </w:rPr>
            </w:pPr>
            <w:r>
              <w:rPr>
                <w:rFonts w:hint="eastAsia" w:ascii="宋体" w:hAnsi="宋体" w:eastAsia="宋体"/>
                <w:sz w:val="21"/>
                <w:szCs w:val="21"/>
              </w:rPr>
              <w:t>XXXXX公司</w:t>
            </w:r>
          </w:p>
          <w:p>
            <w:pPr>
              <w:pStyle w:val="2"/>
              <w:spacing w:after="0"/>
              <w:jc w:val="right"/>
              <w:rPr>
                <w:rFonts w:ascii="宋体" w:hAnsi="宋体"/>
                <w:sz w:val="21"/>
                <w:szCs w:val="21"/>
              </w:rPr>
            </w:pPr>
            <w:r>
              <w:rPr>
                <w:rFonts w:ascii="宋体" w:hAnsi="宋体"/>
                <w:sz w:val="21"/>
                <w:szCs w:val="21"/>
              </w:rPr>
              <w:t>XXXX年ＸＸ月XX日</w:t>
            </w:r>
          </w:p>
        </w:tc>
        <w:tc>
          <w:tcPr>
            <w:tcW w:w="3057" w:type="dxa"/>
          </w:tcPr>
          <w:p>
            <w:pPr>
              <w:rPr>
                <w:rFonts w:ascii="宋体" w:hAnsi="宋体" w:eastAsia="宋体"/>
                <w:sz w:val="21"/>
                <w:szCs w:val="21"/>
              </w:rPr>
            </w:pPr>
            <w:r>
              <w:rPr>
                <w:rFonts w:hint="eastAsia" w:ascii="宋体" w:hAnsi="宋体" w:eastAsia="宋体"/>
                <w:sz w:val="21"/>
                <w:szCs w:val="21"/>
              </w:rPr>
              <w:t>目的：为确保建设项目中的安全设施与主体工程同时设计、同时施工、同时投入生产和使用的“三同时”实现，按照《建设项目安全设施“三同时”监督管理办法》（国家安监总局令第36号77号令改）等法律法规的相关要求，项目须进行安全设施设计，以确保本项目的施工，同时投入生产和使用，保证本项目正式运行后在安全方面符合国家的有关标准和法规，满足安全生产要求。</w:t>
            </w:r>
          </w:p>
          <w:p>
            <w:pPr>
              <w:rPr>
                <w:rFonts w:ascii="宋体" w:hAnsi="宋体" w:eastAsia="宋体"/>
                <w:sz w:val="21"/>
                <w:szCs w:val="21"/>
              </w:rPr>
            </w:pPr>
            <w:r>
              <w:rPr>
                <w:rFonts w:hint="eastAsia" w:ascii="宋体" w:hAnsi="宋体" w:eastAsia="宋体"/>
                <w:sz w:val="21"/>
                <w:szCs w:val="21"/>
              </w:rPr>
              <w:t>设计内容：1、周边关系符合性设计；2、总图运输安全设施设计；3、生产工艺及装置、设施安全设施设计；4、公用工程及辅助设施安全设施设计；5、安全管理体系与措施设计；6、安全设施投资概算。</w:t>
            </w:r>
          </w:p>
          <w:p>
            <w:pPr>
              <w:rPr>
                <w:rFonts w:ascii="宋体" w:hAnsi="宋体" w:eastAsia="宋体"/>
                <w:sz w:val="21"/>
                <w:szCs w:val="21"/>
              </w:rPr>
            </w:pPr>
            <w:r>
              <w:rPr>
                <w:rFonts w:hint="eastAsia" w:ascii="宋体" w:hAnsi="宋体" w:eastAsia="宋体"/>
                <w:sz w:val="21"/>
                <w:szCs w:val="21"/>
              </w:rPr>
              <w:t>时间节点：安全生产条件和设施综合分析报告编制结束后，项目施工前完成安全设施设计。</w:t>
            </w:r>
          </w:p>
        </w:tc>
      </w:tr>
    </w:tbl>
    <w:p>
      <w:pPr>
        <w:adjustRightInd w:val="0"/>
        <w:snapToGrid w:val="0"/>
        <w:spacing w:line="360" w:lineRule="auto"/>
        <w:contextualSpacing/>
        <w:jc w:val="center"/>
        <w:rPr>
          <w:rFonts w:ascii="宋体" w:hAnsi="宋体" w:eastAsia="宋体" w:cs="宋体"/>
          <w:sz w:val="21"/>
          <w:szCs w:val="21"/>
        </w:rPr>
      </w:pPr>
      <w:r>
        <w:rPr>
          <w:rFonts w:hint="eastAsia" w:ascii="宋体" w:hAnsi="宋体" w:eastAsia="宋体" w:cs="宋体"/>
          <w:sz w:val="21"/>
          <w:szCs w:val="21"/>
        </w:rPr>
        <w:t>图6.1-3安全设施设计报告示例</w:t>
      </w:r>
    </w:p>
    <w:p>
      <w:pPr>
        <w:pStyle w:val="2"/>
      </w:pPr>
    </w:p>
    <w:p>
      <w:pPr>
        <w:pStyle w:val="2"/>
      </w:pPr>
    </w:p>
    <w:p>
      <w:pPr>
        <w:pStyle w:val="2"/>
      </w:pPr>
    </w:p>
    <w:p>
      <w:pPr>
        <w:pStyle w:val="2"/>
      </w:pPr>
    </w:p>
    <w:p>
      <w:pPr>
        <w:pStyle w:val="2"/>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6"/>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pStyle w:val="2"/>
              <w:spacing w:after="0"/>
              <w:jc w:val="center"/>
              <w:rPr>
                <w:rFonts w:ascii="宋体" w:hAnsi="宋体"/>
                <w:sz w:val="21"/>
                <w:szCs w:val="21"/>
              </w:rPr>
            </w:pPr>
            <w:r>
              <w:rPr>
                <w:rFonts w:hint="eastAsia" w:ascii="宋体" w:hAnsi="宋体"/>
                <w:sz w:val="21"/>
                <w:szCs w:val="21"/>
              </w:rPr>
              <w:t>安全设施竣工验收报告格式</w:t>
            </w:r>
          </w:p>
        </w:tc>
        <w:tc>
          <w:tcPr>
            <w:tcW w:w="3057" w:type="dxa"/>
          </w:tcPr>
          <w:p>
            <w:pPr>
              <w:pStyle w:val="2"/>
              <w:spacing w:after="0"/>
              <w:jc w:val="center"/>
              <w:rPr>
                <w:rFonts w:ascii="宋体" w:hAnsi="宋体"/>
                <w:sz w:val="21"/>
                <w:szCs w:val="21"/>
              </w:rPr>
            </w:pPr>
            <w:r>
              <w:rPr>
                <w:rFonts w:hint="eastAsia" w:ascii="宋体" w:hAnsi="宋体"/>
                <w:sz w:val="21"/>
                <w:szCs w:val="21"/>
              </w:rPr>
              <w:t>安全设施竣工验收具体要求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jc w:val="center"/>
              <w:rPr>
                <w:rFonts w:ascii="宋体" w:hAnsi="宋体" w:eastAsia="宋体"/>
                <w:sz w:val="21"/>
                <w:szCs w:val="21"/>
              </w:rPr>
            </w:pPr>
            <w:r>
              <w:rPr>
                <w:rFonts w:hint="eastAsia" w:ascii="宋体" w:hAnsi="宋体" w:eastAsia="宋体"/>
                <w:sz w:val="21"/>
                <w:szCs w:val="21"/>
              </w:rPr>
              <w:t>X</w:t>
            </w:r>
            <w:r>
              <w:rPr>
                <w:rFonts w:ascii="宋体" w:hAnsi="宋体" w:eastAsia="宋体"/>
                <w:sz w:val="21"/>
                <w:szCs w:val="21"/>
              </w:rPr>
              <w:t>XXXXXXX</w:t>
            </w:r>
            <w:r>
              <w:rPr>
                <w:rFonts w:hint="eastAsia" w:ascii="宋体" w:hAnsi="宋体" w:eastAsia="宋体"/>
                <w:sz w:val="21"/>
                <w:szCs w:val="21"/>
              </w:rPr>
              <w:t>项目</w:t>
            </w:r>
          </w:p>
          <w:p>
            <w:pPr>
              <w:rPr>
                <w:rFonts w:ascii="宋体" w:hAnsi="宋体" w:eastAsia="宋体"/>
                <w:sz w:val="21"/>
                <w:szCs w:val="21"/>
              </w:rPr>
            </w:pPr>
          </w:p>
          <w:p>
            <w:pPr>
              <w:jc w:val="center"/>
              <w:rPr>
                <w:rFonts w:ascii="宋体" w:hAnsi="宋体" w:eastAsia="宋体"/>
                <w:sz w:val="21"/>
                <w:szCs w:val="21"/>
              </w:rPr>
            </w:pPr>
          </w:p>
          <w:p>
            <w:pPr>
              <w:jc w:val="center"/>
              <w:rPr>
                <w:rFonts w:ascii="宋体" w:hAnsi="宋体" w:eastAsia="宋体"/>
                <w:b/>
                <w:bCs/>
                <w:sz w:val="21"/>
                <w:szCs w:val="21"/>
              </w:rPr>
            </w:pPr>
            <w:r>
              <w:rPr>
                <w:rFonts w:hint="eastAsia" w:ascii="宋体" w:hAnsi="宋体" w:eastAsia="宋体"/>
                <w:b/>
                <w:bCs/>
                <w:sz w:val="21"/>
                <w:szCs w:val="21"/>
              </w:rPr>
              <w:t>安全设施竣工验收报告</w:t>
            </w:r>
          </w:p>
          <w:p>
            <w:pPr>
              <w:rPr>
                <w:rFonts w:ascii="宋体" w:hAnsi="宋体" w:eastAsia="宋体"/>
                <w:sz w:val="21"/>
                <w:szCs w:val="21"/>
              </w:rPr>
            </w:pPr>
          </w:p>
          <w:p>
            <w:pPr>
              <w:ind w:firstLine="420" w:firstLineChars="200"/>
              <w:rPr>
                <w:rFonts w:ascii="宋体" w:hAnsi="宋体" w:eastAsia="宋体"/>
                <w:sz w:val="21"/>
                <w:szCs w:val="21"/>
              </w:rPr>
            </w:pPr>
            <w:r>
              <w:rPr>
                <w:rFonts w:ascii="宋体" w:hAnsi="宋体" w:eastAsia="宋体"/>
                <w:sz w:val="21"/>
                <w:szCs w:val="21"/>
              </w:rPr>
              <w:t>建设单位：</w:t>
            </w:r>
            <w:r>
              <w:rPr>
                <w:rFonts w:hint="eastAsia" w:ascii="宋体" w:hAnsi="宋体" w:eastAsia="宋体"/>
                <w:sz w:val="21"/>
                <w:szCs w:val="21"/>
              </w:rPr>
              <w:t>XXXX</w:t>
            </w:r>
          </w:p>
          <w:p>
            <w:pPr>
              <w:jc w:val="center"/>
              <w:rPr>
                <w:rFonts w:ascii="宋体" w:hAnsi="宋体" w:eastAsia="宋体"/>
                <w:sz w:val="21"/>
                <w:szCs w:val="21"/>
              </w:rPr>
            </w:pPr>
            <w:r>
              <w:rPr>
                <w:rFonts w:hint="eastAsia" w:ascii="宋体" w:hAnsi="宋体" w:eastAsia="宋体"/>
                <w:sz w:val="21"/>
                <w:szCs w:val="21"/>
              </w:rPr>
              <w:t xml:space="preserve"> </w:t>
            </w:r>
            <w:r>
              <w:rPr>
                <w:rFonts w:ascii="宋体" w:hAnsi="宋体" w:eastAsia="宋体"/>
                <w:sz w:val="21"/>
                <w:szCs w:val="21"/>
              </w:rPr>
              <w:t xml:space="preserve">   </w:t>
            </w:r>
            <w:r>
              <w:rPr>
                <w:rFonts w:hint="eastAsia" w:ascii="宋体" w:hAnsi="宋体" w:eastAsia="宋体"/>
                <w:sz w:val="21"/>
                <w:szCs w:val="21"/>
              </w:rPr>
              <w:t>建设单位法定代表人:</w:t>
            </w:r>
            <w:r>
              <w:rPr>
                <w:rFonts w:ascii="宋体" w:hAnsi="宋体" w:eastAsia="宋体"/>
                <w:sz w:val="21"/>
                <w:szCs w:val="21"/>
              </w:rPr>
              <w:t>XXX</w:t>
            </w:r>
          </w:p>
          <w:p>
            <w:pPr>
              <w:jc w:val="center"/>
              <w:rPr>
                <w:rFonts w:ascii="宋体" w:hAnsi="宋体" w:eastAsia="宋体"/>
                <w:sz w:val="21"/>
                <w:szCs w:val="21"/>
              </w:rPr>
            </w:pPr>
            <w:r>
              <w:rPr>
                <w:rFonts w:hint="eastAsia" w:ascii="宋体" w:hAnsi="宋体" w:eastAsia="宋体"/>
                <w:sz w:val="21"/>
                <w:szCs w:val="21"/>
              </w:rPr>
              <w:t xml:space="preserve"> 建设单位联系人：XXX</w:t>
            </w:r>
          </w:p>
          <w:p>
            <w:pPr>
              <w:jc w:val="center"/>
              <w:rPr>
                <w:rFonts w:ascii="宋体" w:hAnsi="宋体" w:eastAsia="宋体"/>
                <w:sz w:val="21"/>
                <w:szCs w:val="21"/>
              </w:rPr>
            </w:pPr>
            <w:r>
              <w:rPr>
                <w:rFonts w:ascii="宋体" w:hAnsi="宋体" w:eastAsia="宋体"/>
                <w:sz w:val="21"/>
                <w:szCs w:val="21"/>
              </w:rPr>
              <w:t xml:space="preserve">    </w:t>
            </w:r>
            <w:r>
              <w:rPr>
                <w:rFonts w:hint="eastAsia" w:ascii="宋体" w:hAnsi="宋体" w:eastAsia="宋体"/>
                <w:sz w:val="21"/>
                <w:szCs w:val="21"/>
              </w:rPr>
              <w:t>建设单位联系方式：XXXXX</w:t>
            </w:r>
          </w:p>
          <w:p>
            <w:pPr>
              <w:jc w:val="center"/>
              <w:rPr>
                <w:rFonts w:ascii="宋体" w:hAnsi="宋体" w:eastAsia="宋体"/>
                <w:sz w:val="21"/>
                <w:szCs w:val="21"/>
              </w:rPr>
            </w:pPr>
          </w:p>
          <w:p>
            <w:pPr>
              <w:rPr>
                <w:rFonts w:ascii="宋体" w:hAnsi="宋体" w:eastAsia="宋体"/>
                <w:sz w:val="21"/>
                <w:szCs w:val="21"/>
              </w:rPr>
            </w:pPr>
          </w:p>
          <w:p>
            <w:pPr>
              <w:jc w:val="right"/>
              <w:rPr>
                <w:rFonts w:ascii="宋体" w:hAnsi="宋体" w:eastAsia="宋体"/>
                <w:sz w:val="21"/>
                <w:szCs w:val="21"/>
              </w:rPr>
            </w:pPr>
            <w:r>
              <w:rPr>
                <w:rFonts w:hint="eastAsia" w:ascii="宋体" w:hAnsi="宋体" w:eastAsia="宋体"/>
                <w:sz w:val="21"/>
                <w:szCs w:val="21"/>
              </w:rPr>
              <w:t>（建设单位）</w:t>
            </w:r>
          </w:p>
          <w:p>
            <w:pPr>
              <w:pStyle w:val="2"/>
              <w:spacing w:after="0"/>
              <w:jc w:val="right"/>
              <w:rPr>
                <w:rFonts w:ascii="宋体" w:hAnsi="宋体"/>
                <w:sz w:val="21"/>
                <w:szCs w:val="21"/>
              </w:rPr>
            </w:pPr>
            <w:r>
              <w:rPr>
                <w:rFonts w:ascii="宋体" w:hAnsi="宋体"/>
                <w:sz w:val="21"/>
                <w:szCs w:val="21"/>
              </w:rPr>
              <w:t>XXXX年ＸＸ月XX日</w:t>
            </w:r>
          </w:p>
        </w:tc>
        <w:tc>
          <w:tcPr>
            <w:tcW w:w="3057" w:type="dxa"/>
          </w:tcPr>
          <w:p>
            <w:pPr>
              <w:rPr>
                <w:rFonts w:ascii="宋体" w:hAnsi="宋体" w:eastAsia="宋体"/>
                <w:sz w:val="21"/>
                <w:szCs w:val="21"/>
              </w:rPr>
            </w:pPr>
            <w:r>
              <w:rPr>
                <w:rFonts w:hint="eastAsia" w:ascii="宋体" w:hAnsi="宋体" w:eastAsia="宋体"/>
                <w:sz w:val="21"/>
                <w:szCs w:val="21"/>
              </w:rPr>
              <w:t>目的：建设项目工程竣工、试生产运行正常后，通过对项目的设施、设备、装置实际运行状况及管理状况的安全分析，查找项目投产后存在的危险、有害因素的种类和程度，提出合理可行的安全对策措施及建议，为项目的安全“三同时”把住最后一道关口。</w:t>
            </w:r>
          </w:p>
          <w:p>
            <w:pPr>
              <w:rPr>
                <w:rFonts w:ascii="宋体" w:hAnsi="宋体" w:eastAsia="宋体"/>
                <w:sz w:val="21"/>
                <w:szCs w:val="21"/>
              </w:rPr>
            </w:pPr>
            <w:r>
              <w:rPr>
                <w:rFonts w:hint="eastAsia" w:ascii="宋体" w:hAnsi="宋体" w:eastAsia="宋体"/>
                <w:sz w:val="21"/>
                <w:szCs w:val="21"/>
              </w:rPr>
              <w:t>设计内容：1）建设项目涉及的建构筑物、物料、生产设备及工艺等；2）与本项目生产相关的公用及辅助设施，包括给排水、供配电、储存设施等。</w:t>
            </w:r>
          </w:p>
          <w:p>
            <w:pPr>
              <w:pStyle w:val="2"/>
              <w:spacing w:after="0"/>
              <w:rPr>
                <w:rFonts w:ascii="宋体" w:hAnsi="宋体"/>
                <w:sz w:val="21"/>
                <w:szCs w:val="21"/>
              </w:rPr>
            </w:pPr>
            <w:r>
              <w:rPr>
                <w:rFonts w:hint="eastAsia" w:ascii="宋体" w:hAnsi="宋体"/>
                <w:sz w:val="21"/>
                <w:szCs w:val="21"/>
              </w:rPr>
              <w:t>时间节点：建设单位按照安全设施设计完成安全设施施工，建设项目试运行不少于1个月后，完成安全设施竣工验收。</w:t>
            </w:r>
          </w:p>
        </w:tc>
      </w:tr>
    </w:tbl>
    <w:p>
      <w:pPr>
        <w:adjustRightInd w:val="0"/>
        <w:snapToGrid w:val="0"/>
        <w:spacing w:line="360" w:lineRule="auto"/>
        <w:contextualSpacing/>
        <w:jc w:val="center"/>
        <w:rPr>
          <w:rFonts w:ascii="宋体" w:hAnsi="宋体" w:eastAsia="宋体" w:cs="宋体"/>
          <w:sz w:val="21"/>
          <w:szCs w:val="21"/>
        </w:rPr>
      </w:pPr>
      <w:r>
        <w:rPr>
          <w:rFonts w:hint="eastAsia" w:ascii="宋体" w:hAnsi="宋体" w:eastAsia="宋体" w:cs="宋体"/>
          <w:sz w:val="21"/>
          <w:szCs w:val="21"/>
        </w:rPr>
        <w:t>图6.1-4安全设施竣工验收报告示例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3.厂址选择应遵循《工业企业总平面设计规范》（GB50187）的规定。</w:t>
      </w:r>
    </w:p>
    <w:p>
      <w:pPr>
        <w:adjustRightInd w:val="0"/>
        <w:snapToGrid w:val="0"/>
        <w:spacing w:line="360" w:lineRule="auto"/>
        <w:ind w:firstLine="480" w:firstLineChars="200"/>
        <w:contextualSpacing/>
        <w:jc w:val="left"/>
        <w:rPr>
          <w:rFonts w:eastAsia="宋体" w:cs="Times New Roman"/>
          <w:sz w:val="24"/>
          <w:szCs w:val="18"/>
        </w:rPr>
      </w:pPr>
      <w:bookmarkStart w:id="14" w:name="_Hlk93663476"/>
      <w:r>
        <w:rPr>
          <w:rFonts w:hint="eastAsia" w:eastAsia="宋体" w:cs="Times New Roman"/>
          <w:sz w:val="24"/>
          <w:szCs w:val="18"/>
        </w:rPr>
        <w:t>释义：</w:t>
      </w:r>
    </w:p>
    <w:bookmarkEnd w:id="14"/>
    <w:p>
      <w:pPr>
        <w:adjustRightInd w:val="0"/>
        <w:snapToGrid w:val="0"/>
        <w:spacing w:line="360" w:lineRule="auto"/>
        <w:contextualSpacing/>
        <w:rPr>
          <w:rFonts w:eastAsia="宋体" w:cs="Times New Roman"/>
          <w:sz w:val="24"/>
        </w:rPr>
      </w:pPr>
      <w:r>
        <w:rPr>
          <w:rFonts w:cs="Times New Roman"/>
        </w:rPr>
        <w:object>
          <v:shape id="_x0000_i1025" o:spt="75" type="#_x0000_t75" style="height:119.6pt;width:144.55pt;" o:ole="t" filled="f" o:preferrelative="t" stroked="f" coordsize="21600,21600">
            <v:path/>
            <v:fill on="f" focussize="0,0"/>
            <v:stroke on="f" joinstyle="miter"/>
            <v:imagedata r:id="rId39" o:title=""/>
            <o:lock v:ext="edit" aspectratio="t"/>
            <w10:wrap type="none"/>
            <w10:anchorlock/>
          </v:shape>
          <o:OLEObject Type="Embed" ProgID="Visio.Drawing.11" ShapeID="_x0000_i1025" DrawAspect="Content" ObjectID="_1468075725" r:id="rId38">
            <o:LockedField>false</o:LockedField>
          </o:OLEObject>
        </w:object>
      </w:r>
      <w:r>
        <w:rPr>
          <w:rFonts w:cs="Times New Roman"/>
        </w:rPr>
        <w:t xml:space="preserve">  </w:t>
      </w:r>
      <w:r>
        <w:rPr>
          <w:rFonts w:cs="Times New Roman"/>
        </w:rPr>
        <w:object>
          <v:shape id="_x0000_i1026" o:spt="75" type="#_x0000_t75" style="height:120.2pt;width:144.55pt;" o:ole="t" filled="f" o:preferrelative="t" stroked="f" coordsize="21600,21600">
            <v:path/>
            <v:fill on="f" focussize="0,0"/>
            <v:stroke on="f" joinstyle="miter"/>
            <v:imagedata r:id="rId41" o:title=""/>
            <o:lock v:ext="edit" aspectratio="t"/>
            <w10:wrap type="none"/>
            <w10:anchorlock/>
          </v:shape>
          <o:OLEObject Type="Embed" ProgID="Visio.Drawing.11" ShapeID="_x0000_i1026" DrawAspect="Content" ObjectID="_1468075726" r:id="rId40">
            <o:LockedField>false</o:LockedField>
          </o:OLEObject>
        </w:object>
      </w:r>
    </w:p>
    <w:p>
      <w:pPr>
        <w:adjustRightInd w:val="0"/>
        <w:snapToGrid w:val="0"/>
        <w:spacing w:line="360" w:lineRule="auto"/>
        <w:ind w:firstLine="210" w:firstLineChars="100"/>
        <w:contextualSpacing/>
        <w:jc w:val="center"/>
        <w:rPr>
          <w:rFonts w:eastAsia="宋体" w:cs="Times New Roman"/>
          <w:sz w:val="21"/>
          <w:szCs w:val="21"/>
        </w:rPr>
      </w:pP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w:t>
      </w:r>
      <w:r>
        <w:rPr>
          <w:rFonts w:eastAsia="宋体" w:cs="Times New Roman"/>
          <w:sz w:val="21"/>
          <w:szCs w:val="21"/>
        </w:rPr>
        <w:t>5厂房</w:t>
      </w:r>
      <w:r>
        <w:rPr>
          <w:rFonts w:hint="eastAsia" w:eastAsia="宋体" w:cs="Times New Roman"/>
          <w:sz w:val="21"/>
          <w:szCs w:val="21"/>
        </w:rPr>
        <w:t>、仓库</w:t>
      </w:r>
      <w:r>
        <w:rPr>
          <w:rFonts w:eastAsia="宋体" w:cs="Times New Roman"/>
          <w:sz w:val="21"/>
          <w:szCs w:val="21"/>
        </w:rPr>
        <w:t>之间防火间距要求示例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4.平面布置应合理安排车流、人流、物流，保证安全顺行。</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具体要求：</w:t>
      </w:r>
      <w:r>
        <w:rPr>
          <w:rFonts w:hint="eastAsia" w:cs="Times New Roman" w:eastAsiaTheme="minorEastAsia"/>
          <w:sz w:val="24"/>
        </w:rPr>
        <w:t>见第十四章/四</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5.厂房的照明，应符合《建筑采光设计标准》（GB/T50033）和《建筑照明设计标准》（GB50034）的规定。照明电气的选型与作业场所相适应：一般作业场所可选用开启式照明电气，潮湿场所应选用密闭式防水照明电气，有腐蚀性场所应选用耐酸碱型照明电气，易燃物品存放场所不得使用聚光灯、碘钨灯等灯具，有限空间、高温、有导电灰尘、离地不足2.5米的固定式照明电源不得大于36伏，潮湿场所和易触及的照明电源不得大于24伏，室外220伏灯具距离地面不低于3米，室内不低于2.5米，普通灯具与易燃物品距离不得小于300毫米，灯头绝缘外壳无破损、无漏电现象。</w:t>
      </w:r>
    </w:p>
    <w:p>
      <w:pPr>
        <w:adjustRightInd w:val="0"/>
        <w:snapToGrid w:val="0"/>
        <w:spacing w:line="360" w:lineRule="auto"/>
        <w:ind w:firstLine="480" w:firstLineChars="200"/>
        <w:contextualSpacing/>
        <w:jc w:val="left"/>
        <w:rPr>
          <w:rFonts w:eastAsia="宋体" w:cs="Times New Roman"/>
          <w:sz w:val="24"/>
          <w:szCs w:val="18"/>
        </w:rPr>
      </w:pPr>
      <w:r>
        <w:rPr>
          <w:rFonts w:hint="eastAsia" w:eastAsia="宋体" w:cs="Times New Roman"/>
          <w:sz w:val="24"/>
          <w:szCs w:val="18"/>
        </w:rPr>
        <w:t>释义：</w:t>
      </w:r>
    </w:p>
    <w:p>
      <w:pPr>
        <w:adjustRightInd w:val="0"/>
        <w:snapToGrid w:val="0"/>
        <w:spacing w:line="360" w:lineRule="auto"/>
        <w:contextualSpacing/>
        <w:jc w:val="left"/>
        <w:rPr>
          <w:rFonts w:eastAsia="宋体" w:cs="Times New Roman"/>
          <w:sz w:val="24"/>
        </w:rPr>
      </w:pPr>
      <w:r>
        <w:rPr>
          <w:rFonts w:cs="Times New Roman"/>
        </w:rPr>
        <mc:AlternateContent>
          <mc:Choice Requires="wps">
            <w:drawing>
              <wp:anchor distT="0" distB="0" distL="114300" distR="114300" simplePos="0" relativeHeight="251687936" behindDoc="0" locked="0" layoutInCell="1" allowOverlap="1">
                <wp:simplePos x="0" y="0"/>
                <wp:positionH relativeFrom="column">
                  <wp:posOffset>84455</wp:posOffset>
                </wp:positionH>
                <wp:positionV relativeFrom="paragraph">
                  <wp:posOffset>151130</wp:posOffset>
                </wp:positionV>
                <wp:extent cx="1764030" cy="391160"/>
                <wp:effectExtent l="0" t="0" r="26670" b="27940"/>
                <wp:wrapNone/>
                <wp:docPr id="2" name="文本框 2"/>
                <wp:cNvGraphicFramePr/>
                <a:graphic xmlns:a="http://schemas.openxmlformats.org/drawingml/2006/main">
                  <a:graphicData uri="http://schemas.microsoft.com/office/word/2010/wordprocessingShape">
                    <wps:wsp>
                      <wps:cNvSpPr txBox="1"/>
                      <wps:spPr>
                        <a:xfrm>
                          <a:off x="0" y="0"/>
                          <a:ext cx="1764030" cy="391160"/>
                        </a:xfrm>
                        <a:prstGeom prst="rect">
                          <a:avLst/>
                        </a:prstGeom>
                        <a:noFill/>
                        <a:ln w="12700">
                          <a:solidFill>
                            <a:srgbClr val="FF0000"/>
                          </a:solidFill>
                        </a:ln>
                      </wps:spPr>
                      <wps:txbx>
                        <w:txbxContent>
                          <w:p>
                            <w:pPr>
                              <w:rPr>
                                <w:rFonts w:ascii="宋体" w:hAnsi="宋体" w:eastAsia="宋体"/>
                                <w:sz w:val="18"/>
                                <w:szCs w:val="18"/>
                                <w14:textOutline w14:w="9525" w14:cap="rnd" w14:cmpd="sng" w14:algn="ctr">
                                  <w14:solidFill>
                                    <w14:srgbClr w14:val="FF0000"/>
                                  </w14:solidFill>
                                  <w14:prstDash w14:val="solid"/>
                                  <w14:bevel/>
                                </w14:textOutline>
                              </w:rPr>
                            </w:pPr>
                            <w:r>
                              <w:rPr>
                                <w:rFonts w:ascii="宋体" w:hAnsi="宋体" w:eastAsia="宋体"/>
                                <w:sz w:val="18"/>
                                <w:szCs w:val="18"/>
                                <w14:textOutline w14:w="9525" w14:cap="rnd" w14:cmpd="sng" w14:algn="ctr">
                                  <w14:solidFill>
                                    <w14:srgbClr w14:val="FF0000"/>
                                  </w14:solidFill>
                                  <w14:prstDash w14:val="solid"/>
                                  <w14:bevel/>
                                </w14:textOutline>
                              </w:rPr>
                              <w:t>照明</w:t>
                            </w:r>
                            <w:r>
                              <w:rPr>
                                <w:rFonts w:hint="eastAsia" w:ascii="宋体" w:hAnsi="宋体" w:eastAsia="宋体"/>
                                <w:sz w:val="18"/>
                                <w:szCs w:val="18"/>
                                <w14:textOutline w14:w="9525" w14:cap="rnd" w14:cmpd="sng" w14:algn="ctr">
                                  <w14:solidFill>
                                    <w14:srgbClr w14:val="FF0000"/>
                                  </w14:solidFill>
                                  <w14:prstDash w14:val="solid"/>
                                  <w14:bevel/>
                                </w14:textOutline>
                              </w:rPr>
                              <w:t>需为3</w:t>
                            </w:r>
                            <w:r>
                              <w:rPr>
                                <w:rFonts w:ascii="宋体" w:hAnsi="宋体" w:eastAsia="宋体"/>
                                <w:sz w:val="18"/>
                                <w:szCs w:val="18"/>
                                <w14:textOutline w14:w="9525" w14:cap="rnd" w14:cmpd="sng" w14:algn="ctr">
                                  <w14:solidFill>
                                    <w14:srgbClr w14:val="FF0000"/>
                                  </w14:solidFill>
                                  <w14:prstDash w14:val="solid"/>
                                  <w14:bevel/>
                                </w14:textOutline>
                              </w:rPr>
                              <w:t>6/24V的</w:t>
                            </w:r>
                            <w:r>
                              <w:rPr>
                                <w:rFonts w:hint="eastAsia" w:ascii="宋体" w:hAnsi="宋体" w:eastAsia="宋体"/>
                                <w:sz w:val="18"/>
                                <w:szCs w:val="18"/>
                                <w14:textOutline w14:w="9525" w14:cap="rnd" w14:cmpd="sng" w14:algn="ctr">
                                  <w14:solidFill>
                                    <w14:srgbClr w14:val="FF0000"/>
                                  </w14:solidFill>
                                  <w14:prstDash w14:val="solid"/>
                                  <w14:bevel/>
                                </w14:textOutline>
                              </w:rPr>
                              <w:t>安全电压或者有防护罩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11.9pt;height:30.8pt;width:138.9pt;z-index:251687936;mso-width-relative:page;mso-height-relative:page;" filled="f" stroked="t" coordsize="21600,21600" o:gfxdata="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5oS341gAAAAgBAAAP&#10;AAAAAAAAAAEAIAAAACIAAABkcnMvZG93bnJldi54bWxQSwECFAAUAAAACACHTuJAvj4X2lMCAACQ&#10;BAAADgAAAAAAAAABACAAAAAlAQAAZHJzL2Uyb0RvYy54bWxQSwUGAAAAAAYABgBZAQAA6gUAAAAA&#10;">
                <v:fill on="f" focussize="0,0"/>
                <v:stroke weight="1pt" color="#FF0000" joinstyle="round"/>
                <v:imagedata o:title=""/>
                <o:lock v:ext="edit" aspectratio="f"/>
                <v:textbox>
                  <w:txbxContent>
                    <w:p>
                      <w:pPr>
                        <w:rPr>
                          <w:rFonts w:ascii="宋体" w:hAnsi="宋体" w:eastAsia="宋体"/>
                          <w:sz w:val="18"/>
                          <w:szCs w:val="18"/>
                          <w14:textOutline w14:w="9525" w14:cap="rnd" w14:cmpd="sng" w14:algn="ctr">
                            <w14:solidFill>
                              <w14:srgbClr w14:val="FF0000"/>
                            </w14:solidFill>
                            <w14:prstDash w14:val="solid"/>
                            <w14:bevel/>
                          </w14:textOutline>
                        </w:rPr>
                      </w:pPr>
                      <w:r>
                        <w:rPr>
                          <w:rFonts w:ascii="宋体" w:hAnsi="宋体" w:eastAsia="宋体"/>
                          <w:sz w:val="18"/>
                          <w:szCs w:val="18"/>
                          <w14:textOutline w14:w="9525" w14:cap="rnd" w14:cmpd="sng" w14:algn="ctr">
                            <w14:solidFill>
                              <w14:srgbClr w14:val="FF0000"/>
                            </w14:solidFill>
                            <w14:prstDash w14:val="solid"/>
                            <w14:bevel/>
                          </w14:textOutline>
                        </w:rPr>
                        <w:t>照明</w:t>
                      </w:r>
                      <w:r>
                        <w:rPr>
                          <w:rFonts w:hint="eastAsia" w:ascii="宋体" w:hAnsi="宋体" w:eastAsia="宋体"/>
                          <w:sz w:val="18"/>
                          <w:szCs w:val="18"/>
                          <w14:textOutline w14:w="9525" w14:cap="rnd" w14:cmpd="sng" w14:algn="ctr">
                            <w14:solidFill>
                              <w14:srgbClr w14:val="FF0000"/>
                            </w14:solidFill>
                            <w14:prstDash w14:val="solid"/>
                            <w14:bevel/>
                          </w14:textOutline>
                        </w:rPr>
                        <w:t>需为3</w:t>
                      </w:r>
                      <w:r>
                        <w:rPr>
                          <w:rFonts w:ascii="宋体" w:hAnsi="宋体" w:eastAsia="宋体"/>
                          <w:sz w:val="18"/>
                          <w:szCs w:val="18"/>
                          <w14:textOutline w14:w="9525" w14:cap="rnd" w14:cmpd="sng" w14:algn="ctr">
                            <w14:solidFill>
                              <w14:srgbClr w14:val="FF0000"/>
                            </w14:solidFill>
                            <w14:prstDash w14:val="solid"/>
                            <w14:bevel/>
                          </w14:textOutline>
                        </w:rPr>
                        <w:t>6/24V的</w:t>
                      </w:r>
                      <w:r>
                        <w:rPr>
                          <w:rFonts w:hint="eastAsia" w:ascii="宋体" w:hAnsi="宋体" w:eastAsia="宋体"/>
                          <w:sz w:val="18"/>
                          <w:szCs w:val="18"/>
                          <w14:textOutline w14:w="9525" w14:cap="rnd" w14:cmpd="sng" w14:algn="ctr">
                            <w14:solidFill>
                              <w14:srgbClr w14:val="FF0000"/>
                            </w14:solidFill>
                            <w14:prstDash w14:val="solid"/>
                            <w14:bevel/>
                          </w14:textOutline>
                        </w:rPr>
                        <w:t>安全电压或者有防护罩</w:t>
                      </w:r>
                    </w:p>
                  </w:txbxContent>
                </v:textbox>
              </v:shape>
            </w:pict>
          </mc:Fallback>
        </mc:AlternateContent>
      </w:r>
      <w:r>
        <w:rPr>
          <w:rFonts w:cs="Times New Roman"/>
        </w:rPr>
        <mc:AlternateContent>
          <mc:Choice Requires="wps">
            <w:drawing>
              <wp:anchor distT="0" distB="0" distL="114300" distR="114300" simplePos="0" relativeHeight="251688960" behindDoc="0" locked="0" layoutInCell="1" allowOverlap="1">
                <wp:simplePos x="0" y="0"/>
                <wp:positionH relativeFrom="column">
                  <wp:posOffset>1722755</wp:posOffset>
                </wp:positionH>
                <wp:positionV relativeFrom="paragraph">
                  <wp:posOffset>438150</wp:posOffset>
                </wp:positionV>
                <wp:extent cx="0" cy="1201420"/>
                <wp:effectExtent l="76200" t="38100" r="57150" b="56515"/>
                <wp:wrapNone/>
                <wp:docPr id="5" name="直接箭头连接符 5"/>
                <wp:cNvGraphicFramePr/>
                <a:graphic xmlns:a="http://schemas.openxmlformats.org/drawingml/2006/main">
                  <a:graphicData uri="http://schemas.microsoft.com/office/word/2010/wordprocessingShape">
                    <wps:wsp>
                      <wps:cNvCnPr/>
                      <wps:spPr>
                        <a:xfrm>
                          <a:off x="0" y="0"/>
                          <a:ext cx="0" cy="1201401"/>
                        </a:xfrm>
                        <a:prstGeom prst="straightConnector1">
                          <a:avLst/>
                        </a:prstGeom>
                        <a:noFill/>
                        <a:ln w="6350" cap="flat" cmpd="sng" algn="ctr">
                          <a:solidFill>
                            <a:srgbClr val="ED7D31"/>
                          </a:solidFill>
                          <a:prstDash val="solid"/>
                          <a:miter lim="800000"/>
                          <a:headEnd type="triangle"/>
                          <a:tailEnd type="triangle"/>
                        </a:ln>
                        <a:effectLst/>
                      </wps:spPr>
                      <wps:bodyPr/>
                    </wps:wsp>
                  </a:graphicData>
                </a:graphic>
              </wp:anchor>
            </w:drawing>
          </mc:Choice>
          <mc:Fallback>
            <w:pict>
              <v:shape id="_x0000_s1026" o:spid="_x0000_s1026" o:spt="32" type="#_x0000_t32" style="position:absolute;left:0pt;margin-left:135.65pt;margin-top:34.5pt;height:94.6pt;width:0pt;z-index:251688960;mso-width-relative:page;mso-height-relative:page;" filled="f" stroked="t" coordsize="21600,21600" o:gfxdata="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9ZL2ldgAAAAKAQAADwAAAAAA&#10;AAABACAAAAAiAAAAZHJzL2Rvd25yZXYueG1sUEsBAhQAFAAAAAgAh07iQLWABvgTAgAACwQAAA4A&#10;AAAAAAAAAQAgAAAAJwEAAGRycy9lMm9Eb2MueG1sUEsFBgAAAAAGAAYAWQEAAKwFAAAAAA==&#10;">
                <v:fill on="f" focussize="0,0"/>
                <v:stroke weight="0.5pt" color="#ED7D31" miterlimit="8" joinstyle="miter" startarrow="block" endarrow="block"/>
                <v:imagedata o:title=""/>
                <o:lock v:ext="edit" aspectratio="f"/>
              </v:shape>
            </w:pict>
          </mc:Fallback>
        </mc:AlternateContent>
      </w:r>
      <w:r>
        <w:rPr>
          <w:rFonts w:eastAsia="宋体" w:cs="Times New Roman"/>
          <w:sz w:val="24"/>
        </w:rPr>
        <mc:AlternateContent>
          <mc:Choice Requires="wps">
            <w:drawing>
              <wp:anchor distT="45720" distB="45720" distL="114300" distR="114300" simplePos="0" relativeHeight="251689984" behindDoc="0" locked="0" layoutInCell="1" allowOverlap="1">
                <wp:simplePos x="0" y="0"/>
                <wp:positionH relativeFrom="column">
                  <wp:posOffset>1221105</wp:posOffset>
                </wp:positionH>
                <wp:positionV relativeFrom="paragraph">
                  <wp:posOffset>963930</wp:posOffset>
                </wp:positionV>
                <wp:extent cx="400685" cy="518160"/>
                <wp:effectExtent l="0" t="0" r="0" b="0"/>
                <wp:wrapNone/>
                <wp:docPr id="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00369" cy="518323"/>
                        </a:xfrm>
                        <a:prstGeom prst="rect">
                          <a:avLst/>
                        </a:prstGeom>
                        <a:solidFill>
                          <a:sysClr val="window" lastClr="FFFFFF">
                            <a:lumMod val="85000"/>
                          </a:sysClr>
                        </a:solidFill>
                        <a:ln w="9525">
                          <a:noFill/>
                          <a:miter lim="800000"/>
                        </a:ln>
                      </wps:spPr>
                      <wps:txbx>
                        <w:txbxContent>
                          <w:p>
                            <w:pPr>
                              <w:rPr>
                                <w:color w:val="FFFF00"/>
                                <w:sz w:val="15"/>
                                <w:szCs w:val="15"/>
                              </w:rPr>
                            </w:pPr>
                            <w:r>
                              <w:rPr>
                                <w:rFonts w:hint="eastAsia"/>
                                <w:color w:val="FFFF00"/>
                                <w:sz w:val="15"/>
                                <w:szCs w:val="15"/>
                              </w:rPr>
                              <w:t>高度＜2</w:t>
                            </w:r>
                            <w:r>
                              <w:rPr>
                                <w:color w:val="FFFF00"/>
                                <w:sz w:val="15"/>
                                <w:szCs w:val="15"/>
                              </w:rPr>
                              <w:t>.5m</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6.15pt;margin-top:75.9pt;height:40.8pt;width:31.55pt;z-index:251689984;mso-width-relative:page;mso-height-relative:page;" fillcolor="#D9D9D9" filled="t" stroked="f" coordsize="21600,21600" o:gfxdata="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wPvRU9oAAAAL&#10;AQAADwAAAAAAAAABACAAAAAiAAAAZHJzL2Rvd25yZXYueG1sUEsBAhQAFAAAAAgAh07iQBXSiJRT&#10;AgAAggQAAA4AAAAAAAAAAQAgAAAAKQEAAGRycy9lMm9Eb2MueG1sUEsFBgAAAAAGAAYAWQEAAO4F&#10;AAAAAA==&#10;">
                <v:fill on="t" focussize="0,0"/>
                <v:stroke on="f" miterlimit="8" joinstyle="miter"/>
                <v:imagedata o:title=""/>
                <o:lock v:ext="edit" aspectratio="f"/>
                <v:textbox>
                  <w:txbxContent>
                    <w:p>
                      <w:pPr>
                        <w:rPr>
                          <w:color w:val="FFFF00"/>
                          <w:sz w:val="15"/>
                          <w:szCs w:val="15"/>
                        </w:rPr>
                      </w:pPr>
                      <w:r>
                        <w:rPr>
                          <w:rFonts w:hint="eastAsia"/>
                          <w:color w:val="FFFF00"/>
                          <w:sz w:val="15"/>
                          <w:szCs w:val="15"/>
                        </w:rPr>
                        <w:t>高度＜2</w:t>
                      </w:r>
                      <w:r>
                        <w:rPr>
                          <w:color w:val="FFFF00"/>
                          <w:sz w:val="15"/>
                          <w:szCs w:val="15"/>
                        </w:rPr>
                        <w:t>.5m</w:t>
                      </w:r>
                    </w:p>
                  </w:txbxContent>
                </v:textbox>
              </v:shape>
            </w:pict>
          </mc:Fallback>
        </mc:AlternateContent>
      </w:r>
      <w:r>
        <w:rPr>
          <w:rFonts w:cs="Times New Roman"/>
        </w:rPr>
        <w:drawing>
          <wp:inline distT="0" distB="0" distL="0" distR="0">
            <wp:extent cx="1943100" cy="1499870"/>
            <wp:effectExtent l="0" t="0" r="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2"/>
                    <a:stretch>
                      <a:fillRect/>
                    </a:stretch>
                  </pic:blipFill>
                  <pic:spPr>
                    <a:xfrm>
                      <a:off x="0" y="0"/>
                      <a:ext cx="1946046" cy="1502041"/>
                    </a:xfrm>
                    <a:prstGeom prst="rect">
                      <a:avLst/>
                    </a:prstGeom>
                  </pic:spPr>
                </pic:pic>
              </a:graphicData>
            </a:graphic>
          </wp:inline>
        </w:drawing>
      </w:r>
      <w:r>
        <w:rPr>
          <w:rFonts w:eastAsia="宋体" w:cs="Times New Roman"/>
          <w:sz w:val="24"/>
        </w:rPr>
        <w:t xml:space="preserve"> </w:t>
      </w:r>
      <w:r>
        <w:rPr>
          <w:rFonts w:cs="Times New Roman"/>
        </w:rPr>
        <w:drawing>
          <wp:inline distT="0" distB="0" distL="0" distR="0">
            <wp:extent cx="1835785" cy="173545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3"/>
                    <a:srcRect b="8836"/>
                    <a:stretch>
                      <a:fillRect/>
                    </a:stretch>
                  </pic:blipFill>
                  <pic:spPr>
                    <a:xfrm>
                      <a:off x="0" y="0"/>
                      <a:ext cx="1836000" cy="1736096"/>
                    </a:xfrm>
                    <a:prstGeom prst="rect">
                      <a:avLst/>
                    </a:prstGeom>
                    <a:ln>
                      <a:noFill/>
                    </a:ln>
                  </pic:spPr>
                </pic:pic>
              </a:graphicData>
            </a:graphic>
          </wp:inline>
        </w:drawing>
      </w:r>
    </w:p>
    <w:p>
      <w:pPr>
        <w:pStyle w:val="2"/>
      </w:pPr>
      <w:r>
        <w:rPr>
          <w:rFonts w:hint="eastAsia"/>
          <w:sz w:val="21"/>
          <w:szCs w:val="21"/>
        </w:rPr>
        <w:t>图</w:t>
      </w:r>
      <w:r>
        <w:rPr>
          <w:sz w:val="21"/>
          <w:szCs w:val="21"/>
        </w:rPr>
        <w:t>6.1</w:t>
      </w:r>
      <w:r>
        <w:rPr>
          <w:rFonts w:hint="eastAsia"/>
          <w:sz w:val="21"/>
          <w:szCs w:val="21"/>
        </w:rPr>
        <w:t>-6</w:t>
      </w:r>
      <w:r>
        <w:rPr>
          <w:sz w:val="21"/>
          <w:szCs w:val="21"/>
        </w:rPr>
        <w:t>工作台照明电源</w:t>
      </w:r>
      <w:r>
        <w:rPr>
          <w:rFonts w:hint="eastAsia"/>
          <w:sz w:val="21"/>
          <w:szCs w:val="21"/>
        </w:rPr>
        <w:t>示例</w:t>
      </w:r>
      <w:r>
        <w:rPr>
          <w:sz w:val="21"/>
          <w:szCs w:val="21"/>
        </w:rPr>
        <w:t xml:space="preserve">      </w:t>
      </w:r>
      <w:r>
        <w:rPr>
          <w:rFonts w:hint="eastAsia"/>
          <w:sz w:val="21"/>
          <w:szCs w:val="21"/>
        </w:rPr>
        <w:t>图</w:t>
      </w:r>
      <w:r>
        <w:rPr>
          <w:sz w:val="21"/>
          <w:szCs w:val="21"/>
        </w:rPr>
        <w:t>6.1</w:t>
      </w:r>
      <w:r>
        <w:rPr>
          <w:rFonts w:hint="eastAsia"/>
          <w:sz w:val="21"/>
          <w:szCs w:val="21"/>
        </w:rPr>
        <w:t>-7</w:t>
      </w:r>
      <w:r>
        <w:rPr>
          <w:sz w:val="21"/>
          <w:szCs w:val="21"/>
        </w:rPr>
        <w:t>朝外开启的疏散门</w:t>
      </w:r>
      <w:r>
        <w:rPr>
          <w:rFonts w:hint="eastAsia"/>
          <w:sz w:val="21"/>
          <w:szCs w:val="21"/>
        </w:rPr>
        <w:t>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6.主要生产场所的火灾危险性分类及建构筑物防火最小安全间距，应遵循《建筑设计防火规范》（GB50016）。</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7.厂区内的建构筑物，应按《建筑物防雷设计规范》（GB50057）的规定设置防雷设施，并定期检查，确保防雷设施完好。</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8.厂内休息室、浴室、更衣室应设在安全区域，各种操作室、值班室不应设在可能泄漏有毒有害气体的危险区域。</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9.安全出入口（疏散门）不应采用侧拉门（库房除外），严禁采用转门。厂房、梯子的出入口和人行道，不宜正对车辆、设备运行频繁的地点，否则应设防护装置或悬挂醒目的警告标志。</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10.直梯、斜梯、防护栏杆和工作平台应符合《固定式钢梯及平台安全要求》（GB4053.1-3）的规定。</w:t>
      </w:r>
    </w:p>
    <w:p>
      <w:pPr>
        <w:adjustRightInd w:val="0"/>
        <w:snapToGrid w:val="0"/>
        <w:spacing w:line="360" w:lineRule="auto"/>
        <w:ind w:firstLine="480" w:firstLineChars="200"/>
        <w:contextualSpacing/>
        <w:jc w:val="left"/>
        <w:rPr>
          <w:rFonts w:eastAsia="宋体" w:cs="Times New Roman"/>
          <w:sz w:val="24"/>
          <w:szCs w:val="18"/>
        </w:rPr>
      </w:pPr>
      <w:r>
        <w:rPr>
          <w:rFonts w:hint="eastAsia" w:eastAsia="宋体" w:cs="Times New Roman"/>
          <w:sz w:val="24"/>
          <w:szCs w:val="18"/>
        </w:rPr>
        <w:t>释义：</w:t>
      </w:r>
    </w:p>
    <w:p>
      <w:pPr>
        <w:adjustRightInd w:val="0"/>
        <w:snapToGrid w:val="0"/>
        <w:spacing w:line="360" w:lineRule="auto"/>
        <w:contextualSpacing/>
        <w:rPr>
          <w:rFonts w:eastAsia="宋体" w:cs="Times New Roman"/>
          <w:sz w:val="24"/>
        </w:rPr>
      </w:pPr>
      <w:r>
        <w:rPr>
          <w:rFonts w:cs="Times New Roman"/>
        </w:rPr>
        <w:drawing>
          <wp:inline distT="0" distB="0" distL="0" distR="0">
            <wp:extent cx="1943735" cy="213677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4"/>
                    <a:stretch>
                      <a:fillRect/>
                    </a:stretch>
                  </pic:blipFill>
                  <pic:spPr>
                    <a:xfrm>
                      <a:off x="0" y="0"/>
                      <a:ext cx="1944000" cy="2137347"/>
                    </a:xfrm>
                    <a:prstGeom prst="rect">
                      <a:avLst/>
                    </a:prstGeom>
                  </pic:spPr>
                </pic:pic>
              </a:graphicData>
            </a:graphic>
          </wp:inline>
        </w:drawing>
      </w:r>
      <w:r>
        <w:rPr>
          <w:rFonts w:cs="Times New Roman"/>
        </w:rPr>
        <w:drawing>
          <wp:inline distT="0" distB="0" distL="0" distR="0">
            <wp:extent cx="1943735" cy="188849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5"/>
                    <a:stretch>
                      <a:fillRect/>
                    </a:stretch>
                  </pic:blipFill>
                  <pic:spPr>
                    <a:xfrm>
                      <a:off x="0" y="0"/>
                      <a:ext cx="1944000" cy="1888756"/>
                    </a:xfrm>
                    <a:prstGeom prst="rect">
                      <a:avLst/>
                    </a:prstGeom>
                  </pic:spPr>
                </pic:pic>
              </a:graphicData>
            </a:graphic>
          </wp:inline>
        </w:drawing>
      </w:r>
    </w:p>
    <w:p>
      <w:pPr>
        <w:adjustRightInd w:val="0"/>
        <w:snapToGrid w:val="0"/>
        <w:spacing w:line="360" w:lineRule="auto"/>
        <w:contextualSpacing/>
        <w:rPr>
          <w:rFonts w:eastAsia="宋体" w:cs="Times New Roman"/>
          <w:sz w:val="21"/>
          <w:szCs w:val="21"/>
        </w:rPr>
      </w:pP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-8</w:t>
      </w:r>
      <w:r>
        <w:rPr>
          <w:rFonts w:eastAsia="宋体" w:cs="Times New Roman"/>
          <w:sz w:val="21"/>
          <w:szCs w:val="21"/>
        </w:rPr>
        <w:t>固定式钢直梯</w:t>
      </w:r>
      <w:r>
        <w:rPr>
          <w:rFonts w:hint="eastAsia" w:eastAsia="宋体" w:cs="Times New Roman"/>
          <w:sz w:val="21"/>
          <w:szCs w:val="21"/>
        </w:rPr>
        <w:t>示例</w:t>
      </w:r>
      <w:r>
        <w:rPr>
          <w:rFonts w:eastAsia="宋体" w:cs="Times New Roman"/>
          <w:sz w:val="21"/>
          <w:szCs w:val="21"/>
        </w:rPr>
        <w:t xml:space="preserve">        </w:t>
      </w: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-9</w:t>
      </w:r>
      <w:r>
        <w:rPr>
          <w:rFonts w:eastAsia="宋体" w:cs="Times New Roman"/>
          <w:sz w:val="21"/>
          <w:szCs w:val="21"/>
        </w:rPr>
        <w:t>固定式钢斜梯</w:t>
      </w:r>
      <w:r>
        <w:rPr>
          <w:rFonts w:hint="eastAsia" w:eastAsia="宋体" w:cs="Times New Roman"/>
          <w:sz w:val="21"/>
          <w:szCs w:val="21"/>
        </w:rPr>
        <w:t>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11.移动梯台应符合：操作平台护栏完好符合规定，斜撑无变形，铰接可靠，防滑措施齐全、完好，轮子的限位、防移动装置完好有效，结构件无松脱、裂纹、扭曲、腐蚀等严重变形，不得有裂纹。</w:t>
      </w:r>
    </w:p>
    <w:p>
      <w:pPr>
        <w:adjustRightInd w:val="0"/>
        <w:snapToGrid w:val="0"/>
        <w:spacing w:line="360" w:lineRule="auto"/>
        <w:ind w:firstLine="480" w:firstLineChars="200"/>
        <w:contextualSpacing/>
        <w:jc w:val="left"/>
        <w:rPr>
          <w:rFonts w:eastAsia="宋体" w:cs="Times New Roman"/>
          <w:sz w:val="24"/>
          <w:szCs w:val="18"/>
        </w:rPr>
      </w:pPr>
      <w:r>
        <w:rPr>
          <w:rFonts w:hint="eastAsia" w:eastAsia="宋体" w:cs="Times New Roman"/>
          <w:sz w:val="24"/>
          <w:szCs w:val="18"/>
        </w:rPr>
        <w:t>释义：</w:t>
      </w:r>
    </w:p>
    <w:p>
      <w:pPr>
        <w:adjustRightInd w:val="0"/>
        <w:snapToGrid w:val="0"/>
        <w:spacing w:line="360" w:lineRule="auto"/>
        <w:contextualSpacing/>
        <w:jc w:val="left"/>
        <w:rPr>
          <w:rFonts w:eastAsia="宋体" w:cs="Times New Roman"/>
          <w:sz w:val="24"/>
        </w:rPr>
      </w:pPr>
      <w:r>
        <w:rPr>
          <w:rFonts w:cs="Times New Roman"/>
        </w:rPr>
        <w:drawing>
          <wp:inline distT="0" distB="0" distL="0" distR="0">
            <wp:extent cx="1799590" cy="1097915"/>
            <wp:effectExtent l="0" t="0" r="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6"/>
                    <a:stretch>
                      <a:fillRect/>
                    </a:stretch>
                  </pic:blipFill>
                  <pic:spPr>
                    <a:xfrm>
                      <a:off x="0" y="0"/>
                      <a:ext cx="1800000" cy="1097992"/>
                    </a:xfrm>
                    <a:prstGeom prst="rect">
                      <a:avLst/>
                    </a:prstGeom>
                  </pic:spPr>
                </pic:pic>
              </a:graphicData>
            </a:graphic>
          </wp:inline>
        </w:drawing>
      </w:r>
      <w:r>
        <w:rPr>
          <w:rFonts w:cs="Times New Roman"/>
        </w:rPr>
        <w:drawing>
          <wp:inline distT="0" distB="0" distL="0" distR="0">
            <wp:extent cx="2015490" cy="2379980"/>
            <wp:effectExtent l="0" t="0" r="3810" b="12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7"/>
                    <a:stretch>
                      <a:fillRect/>
                    </a:stretch>
                  </pic:blipFill>
                  <pic:spPr>
                    <a:xfrm>
                      <a:off x="0" y="0"/>
                      <a:ext cx="2016000" cy="2380152"/>
                    </a:xfrm>
                    <a:prstGeom prst="rect">
                      <a:avLst/>
                    </a:prstGeom>
                  </pic:spPr>
                </pic:pic>
              </a:graphicData>
            </a:graphic>
          </wp:inline>
        </w:drawing>
      </w:r>
    </w:p>
    <w:p>
      <w:pPr>
        <w:adjustRightInd w:val="0"/>
        <w:snapToGrid w:val="0"/>
        <w:spacing w:line="360" w:lineRule="auto"/>
        <w:ind w:firstLine="420" w:firstLineChars="200"/>
        <w:contextualSpacing/>
        <w:rPr>
          <w:rFonts w:eastAsia="宋体" w:cs="Times New Roman"/>
          <w:sz w:val="21"/>
          <w:szCs w:val="21"/>
        </w:rPr>
      </w:pP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-10</w:t>
      </w:r>
      <w:r>
        <w:rPr>
          <w:rFonts w:eastAsia="宋体" w:cs="Times New Roman"/>
          <w:sz w:val="21"/>
          <w:szCs w:val="21"/>
        </w:rPr>
        <w:t>防护栏</w:t>
      </w:r>
      <w:r>
        <w:rPr>
          <w:rFonts w:hint="eastAsia" w:eastAsia="宋体" w:cs="Times New Roman"/>
          <w:sz w:val="21"/>
          <w:szCs w:val="21"/>
        </w:rPr>
        <w:t>示例</w:t>
      </w:r>
      <w:r>
        <w:rPr>
          <w:rFonts w:eastAsia="宋体" w:cs="Times New Roman"/>
          <w:sz w:val="21"/>
          <w:szCs w:val="21"/>
        </w:rPr>
        <w:t xml:space="preserve">         </w:t>
      </w: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-11</w:t>
      </w:r>
      <w:r>
        <w:rPr>
          <w:rFonts w:eastAsia="宋体" w:cs="Times New Roman"/>
          <w:sz w:val="21"/>
          <w:szCs w:val="21"/>
        </w:rPr>
        <w:t xml:space="preserve"> 移动梯台</w:t>
      </w:r>
      <w:r>
        <w:rPr>
          <w:rFonts w:hint="eastAsia" w:eastAsia="宋体" w:cs="Times New Roman"/>
          <w:sz w:val="21"/>
          <w:szCs w:val="21"/>
        </w:rPr>
        <w:t>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12.电气室（包括计算机房）、电缆夹层，应设有火灾自动报警器、烟雾火警信号装置、监视装置、灭火装置和防止小动物进入的措施；电缆穿线孔等应用防火材料进行封堵。</w:t>
      </w:r>
    </w:p>
    <w:p>
      <w:pPr>
        <w:adjustRightInd w:val="0"/>
        <w:snapToGrid w:val="0"/>
        <w:spacing w:line="360" w:lineRule="auto"/>
        <w:ind w:firstLine="480" w:firstLineChars="200"/>
        <w:contextualSpacing/>
        <w:jc w:val="left"/>
        <w:rPr>
          <w:rFonts w:eastAsia="宋体" w:cs="Times New Roman"/>
          <w:sz w:val="24"/>
          <w:szCs w:val="18"/>
        </w:rPr>
      </w:pPr>
      <w:r>
        <w:rPr>
          <w:rFonts w:hint="eastAsia" w:eastAsia="宋体" w:cs="Times New Roman"/>
          <w:sz w:val="24"/>
          <w:szCs w:val="18"/>
        </w:rPr>
        <w:t>释义：</w:t>
      </w:r>
    </w:p>
    <w:p>
      <w:pPr>
        <w:adjustRightInd w:val="0"/>
        <w:snapToGrid w:val="0"/>
        <w:spacing w:line="360" w:lineRule="auto"/>
        <w:contextualSpacing/>
        <w:jc w:val="left"/>
        <w:rPr>
          <w:rFonts w:eastAsia="宋体" w:cs="Times New Roman"/>
          <w:sz w:val="24"/>
        </w:rPr>
      </w:pPr>
      <w:r>
        <w:rPr>
          <w:rFonts w:cs="Times New Roman"/>
        </w:rPr>
        <w:drawing>
          <wp:inline distT="0" distB="0" distL="0" distR="0">
            <wp:extent cx="1799590" cy="145478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8"/>
                    <a:stretch>
                      <a:fillRect/>
                    </a:stretch>
                  </pic:blipFill>
                  <pic:spPr>
                    <a:xfrm>
                      <a:off x="0" y="0"/>
                      <a:ext cx="1800000" cy="1455170"/>
                    </a:xfrm>
                    <a:prstGeom prst="rect">
                      <a:avLst/>
                    </a:prstGeom>
                  </pic:spPr>
                </pic:pic>
              </a:graphicData>
            </a:graphic>
          </wp:inline>
        </w:drawing>
      </w:r>
      <w:r>
        <w:rPr>
          <w:rFonts w:cs="Times New Roman"/>
        </w:rPr>
        <w:t xml:space="preserve">  </w:t>
      </w:r>
      <w:r>
        <w:rPr>
          <w:rFonts w:cs="Times New Roman"/>
        </w:rPr>
        <w:drawing>
          <wp:inline distT="0" distB="0" distL="0" distR="0">
            <wp:extent cx="1680210" cy="164782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687312" cy="1654618"/>
                    </a:xfrm>
                    <a:prstGeom prst="rect">
                      <a:avLst/>
                    </a:prstGeom>
                    <a:noFill/>
                    <a:ln>
                      <a:noFill/>
                    </a:ln>
                  </pic:spPr>
                </pic:pic>
              </a:graphicData>
            </a:graphic>
          </wp:inline>
        </w:drawing>
      </w:r>
    </w:p>
    <w:p>
      <w:pPr>
        <w:adjustRightInd w:val="0"/>
        <w:snapToGrid w:val="0"/>
        <w:spacing w:line="360" w:lineRule="auto"/>
        <w:ind w:firstLine="630" w:firstLineChars="300"/>
        <w:contextualSpacing/>
        <w:rPr>
          <w:rFonts w:eastAsia="宋体" w:cs="Times New Roman"/>
          <w:sz w:val="21"/>
          <w:szCs w:val="21"/>
        </w:rPr>
      </w:pP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-12</w:t>
      </w:r>
      <w:r>
        <w:rPr>
          <w:rFonts w:eastAsia="宋体" w:cs="Times New Roman"/>
          <w:sz w:val="21"/>
          <w:szCs w:val="21"/>
        </w:rPr>
        <w:t xml:space="preserve"> 挡鼠板</w:t>
      </w:r>
      <w:r>
        <w:rPr>
          <w:rFonts w:hint="eastAsia" w:eastAsia="宋体" w:cs="Times New Roman"/>
          <w:sz w:val="21"/>
          <w:szCs w:val="21"/>
        </w:rPr>
        <w:t>示例</w:t>
      </w:r>
      <w:r>
        <w:rPr>
          <w:rFonts w:eastAsia="宋体" w:cs="Times New Roman"/>
          <w:sz w:val="21"/>
          <w:szCs w:val="21"/>
        </w:rPr>
        <w:t xml:space="preserve">      </w:t>
      </w: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-13</w:t>
      </w:r>
      <w:r>
        <w:rPr>
          <w:rFonts w:eastAsia="宋体" w:cs="Times New Roman"/>
          <w:sz w:val="21"/>
          <w:szCs w:val="21"/>
        </w:rPr>
        <w:t>烟雾报警器</w:t>
      </w:r>
      <w:r>
        <w:rPr>
          <w:rFonts w:hint="eastAsia" w:eastAsia="宋体" w:cs="Times New Roman"/>
          <w:sz w:val="21"/>
          <w:szCs w:val="21"/>
        </w:rPr>
        <w:t>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13.设置用发电机房。自备发电机不应与供电网联接，并可靠接地。柴油发电机的环境温度及柴油机的运行温度定子不得超过75℃（E级）、转子不得超过80℃（B级）。</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14.胶（皮）带运输机应有如下安全防护装置并确保有效：</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（1）防打滑、防跑偏、防纵向撕裂；</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（2）拉线事故开关；</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（3）防压料自动停车装置；</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（4）头轮、尾轮、增面轮及拉紧装置应有防护罩或防护栏杆。</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释义：</w:t>
      </w:r>
    </w:p>
    <w:p>
      <w:pPr>
        <w:pStyle w:val="2"/>
        <w:spacing w:line="360" w:lineRule="auto"/>
        <w:ind w:firstLine="480" w:firstLineChars="200"/>
        <w:rPr>
          <w:sz w:val="24"/>
          <w:szCs w:val="24"/>
        </w:rPr>
      </w:pPr>
      <w:r>
        <w:rPr>
          <w:rFonts w:hint="eastAsia"/>
          <w:sz w:val="24"/>
          <w:szCs w:val="24"/>
        </w:rPr>
        <w:t>（1）针对拉线事故开关要求，沿输送机人行通道的全长应设置急停拉绳开关，拉绳开关的间距不得大于60m，并宜每3m-6m 设一组托绳环。当输送机的长度小于30m时,允许不设拉绳开关而用急停按钮代替,但从输送机长度方向上的任何一点到急停按钮的距离不得大于10m。</w:t>
      </w:r>
    </w:p>
    <w:p>
      <w:pPr>
        <w:pStyle w:val="2"/>
        <w:spacing w:line="360" w:lineRule="auto"/>
        <w:ind w:firstLine="480" w:firstLineChars="200"/>
        <w:rPr>
          <w:sz w:val="24"/>
          <w:szCs w:val="24"/>
        </w:rPr>
      </w:pPr>
      <w:r>
        <w:rPr>
          <w:rFonts w:hint="eastAsia"/>
          <w:sz w:val="24"/>
          <w:szCs w:val="24"/>
        </w:rPr>
        <w:t>（2）针对防护罩和护栏安全要求，在经常有人接近的输送机的头部、尾部、拉紧部位和输送带改向部位是易挤夹部位（见图6</w:t>
      </w:r>
      <w:r>
        <w:rPr>
          <w:sz w:val="24"/>
          <w:szCs w:val="24"/>
        </w:rPr>
        <w:t>.1</w:t>
      </w:r>
      <w:r>
        <w:rPr>
          <w:rFonts w:hint="eastAsia"/>
          <w:sz w:val="24"/>
          <w:szCs w:val="24"/>
        </w:rPr>
        <w:t>-</w:t>
      </w:r>
      <w:r>
        <w:rPr>
          <w:sz w:val="24"/>
          <w:szCs w:val="24"/>
        </w:rPr>
        <w:t>14</w:t>
      </w:r>
      <w:r>
        <w:rPr>
          <w:rFonts w:hint="eastAsia"/>
          <w:sz w:val="24"/>
          <w:szCs w:val="24"/>
        </w:rPr>
        <w:t>），要设置防护罩或者防护栏。如设置防护栏，应满足图6</w:t>
      </w:r>
      <w:r>
        <w:rPr>
          <w:sz w:val="24"/>
          <w:szCs w:val="24"/>
        </w:rPr>
        <w:t>.1</w:t>
      </w:r>
      <w:r>
        <w:rPr>
          <w:rFonts w:hint="eastAsia"/>
          <w:sz w:val="24"/>
          <w:szCs w:val="24"/>
        </w:rPr>
        <w:t>-</w:t>
      </w:r>
      <w:r>
        <w:rPr>
          <w:sz w:val="24"/>
          <w:szCs w:val="24"/>
        </w:rPr>
        <w:t>15</w:t>
      </w:r>
      <w:r>
        <w:rPr>
          <w:rFonts w:hint="eastAsia"/>
          <w:sz w:val="24"/>
          <w:szCs w:val="24"/>
        </w:rPr>
        <w:t>的要求。</w:t>
      </w:r>
    </w:p>
    <w:p>
      <w:pPr>
        <w:pStyle w:val="2"/>
        <w:spacing w:line="360" w:lineRule="auto"/>
        <w:rPr>
          <w:sz w:val="24"/>
          <w:szCs w:val="24"/>
        </w:rPr>
      </w:pPr>
      <w:r>
        <w:rPr>
          <w:rFonts w:hint="eastAsia"/>
          <w:sz w:val="24"/>
          <w:szCs w:val="24"/>
        </w:rPr>
        <mc:AlternateContent>
          <mc:Choice Requires="wps">
            <w:drawing>
              <wp:anchor distT="0" distB="0" distL="114300" distR="114300" simplePos="0" relativeHeight="251692032" behindDoc="0" locked="0" layoutInCell="1" allowOverlap="1">
                <wp:simplePos x="0" y="0"/>
                <wp:positionH relativeFrom="column">
                  <wp:posOffset>1645920</wp:posOffset>
                </wp:positionH>
                <wp:positionV relativeFrom="paragraph">
                  <wp:posOffset>2328545</wp:posOffset>
                </wp:positionV>
                <wp:extent cx="428625" cy="215900"/>
                <wp:effectExtent l="0" t="0" r="10160" b="12700"/>
                <wp:wrapNone/>
                <wp:docPr id="7229" name="矩形 7229"/>
                <wp:cNvGraphicFramePr/>
                <a:graphic xmlns:a="http://schemas.openxmlformats.org/drawingml/2006/main">
                  <a:graphicData uri="http://schemas.microsoft.com/office/word/2010/wordprocessingShape">
                    <wps:wsp>
                      <wps:cNvSpPr/>
                      <wps:spPr>
                        <a:xfrm>
                          <a:off x="0" y="0"/>
                          <a:ext cx="428400" cy="216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6pt;margin-top:183.35pt;height:17pt;width:33.75pt;z-index:251692032;v-text-anchor:middle;mso-width-relative:page;mso-height-relative:page;" fillcolor="#FFFFFF [3212]" filled="t" stroked="t" coordsize="21600,21600" o:gfxdata="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IT2pc9oAAAALAQAADwAAAAAAAAABACAAAAAiAAAAZHJzL2Rvd25yZXYu&#10;eG1sUEsBAhQAFAAAAAgAh07iQOpc48xrAgAA+QQAAA4AAAAAAAAAAQAgAAAAKQEAAGRycy9lMm9E&#10;b2MueG1sUEsFBgAAAAAGAAYAWQEAAAYGAAAAAA==&#10;">
                <v:fill on="t" focussize="0,0"/>
                <v:stroke weight="1pt" color="#FFFFFF [3212]" miterlimit="8" joinstyle="miter"/>
                <v:imagedata o:title=""/>
                <o:lock v:ext="edit" aspectratio="f"/>
              </v:rect>
            </w:pict>
          </mc:Fallback>
        </mc:AlternateContent>
      </w:r>
      <w:r>
        <w:rPr>
          <w:rFonts w:hint="eastAsia"/>
          <w:sz w:val="24"/>
          <w:szCs w:val="24"/>
        </w:rPr>
        <mc:AlternateContent>
          <mc:Choice Requires="wps">
            <w:drawing>
              <wp:anchor distT="0" distB="0" distL="114300" distR="114300" simplePos="0" relativeHeight="251691008" behindDoc="0" locked="0" layoutInCell="1" allowOverlap="1">
                <wp:simplePos x="0" y="0"/>
                <wp:positionH relativeFrom="column">
                  <wp:posOffset>1649095</wp:posOffset>
                </wp:positionH>
                <wp:positionV relativeFrom="paragraph">
                  <wp:posOffset>913130</wp:posOffset>
                </wp:positionV>
                <wp:extent cx="428625" cy="215900"/>
                <wp:effectExtent l="0" t="0" r="10160" b="12700"/>
                <wp:wrapNone/>
                <wp:docPr id="7211" name="矩形 7211"/>
                <wp:cNvGraphicFramePr/>
                <a:graphic xmlns:a="http://schemas.openxmlformats.org/drawingml/2006/main">
                  <a:graphicData uri="http://schemas.microsoft.com/office/word/2010/wordprocessingShape">
                    <wps:wsp>
                      <wps:cNvSpPr/>
                      <wps:spPr>
                        <a:xfrm>
                          <a:off x="0" y="0"/>
                          <a:ext cx="428400" cy="216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85pt;margin-top:71.9pt;height:17pt;width:33.75pt;z-index:251691008;v-text-anchor:middle;mso-width-relative:page;mso-height-relative:page;" fillcolor="#FFFFFF [3212]" filled="t" stroked="t" coordsize="21600,21600" o:gfxdata="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KuoerZAAAACwEAAA8AAAAAAAAAAQAgAAAAIgAAAGRycy9kb3ducmV2Lnht&#10;bFBLAQIUABQAAAAIAIdO4kDMtl1QagIAAPkEAAAOAAAAAAAAAAEAIAAAACgBAABkcnMvZTJvRG9j&#10;LnhtbFBLBQYAAAAABgAGAFkBAAAEBgAAAAA=&#10;">
                <v:fill on="t" focussize="0,0"/>
                <v:stroke weight="1pt" color="#FFFFFF [3212]" miterlimit="8" joinstyle="miter"/>
                <v:imagedata o:title=""/>
                <o:lock v:ext="edit" aspectratio="f"/>
              </v:rect>
            </w:pict>
          </mc:Fallback>
        </mc:AlternateContent>
      </w:r>
      <w:r>
        <w:rPr>
          <w:rFonts w:hint="eastAsia"/>
          <w:sz w:val="24"/>
          <w:szCs w:val="24"/>
        </w:rPr>
        <w:drawing>
          <wp:inline distT="0" distB="0" distL="0" distR="0">
            <wp:extent cx="3633470" cy="3691255"/>
            <wp:effectExtent l="0" t="0" r="5080" b="4445"/>
            <wp:docPr id="7208" name="图片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 name="图片 720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47905" cy="3705695"/>
                    </a:xfrm>
                    <a:prstGeom prst="rect">
                      <a:avLst/>
                    </a:prstGeom>
                  </pic:spPr>
                </pic:pic>
              </a:graphicData>
            </a:graphic>
          </wp:inline>
        </w:drawing>
      </w:r>
    </w:p>
    <w:p>
      <w:pPr>
        <w:pStyle w:val="2"/>
        <w:spacing w:line="360" w:lineRule="auto"/>
        <w:jc w:val="center"/>
        <w:rPr>
          <w:sz w:val="24"/>
          <w:szCs w:val="24"/>
        </w:rPr>
      </w:pPr>
      <w:r>
        <w:rPr>
          <w:rFonts w:hint="eastAsia"/>
          <w:sz w:val="21"/>
          <w:szCs w:val="21"/>
        </w:rPr>
        <w:t>图</w:t>
      </w:r>
      <w:r>
        <w:rPr>
          <w:sz w:val="21"/>
          <w:szCs w:val="21"/>
        </w:rPr>
        <w:t>6.1</w:t>
      </w:r>
      <w:r>
        <w:rPr>
          <w:rFonts w:hint="eastAsia"/>
          <w:sz w:val="21"/>
          <w:szCs w:val="21"/>
        </w:rPr>
        <w:t>-14 易夹部位</w:t>
      </w:r>
    </w:p>
    <w:p>
      <w:pPr>
        <w:adjustRightInd w:val="0"/>
        <w:snapToGrid w:val="0"/>
        <w:spacing w:line="360" w:lineRule="auto"/>
        <w:contextualSpacing/>
        <w:jc w:val="left"/>
        <w:rPr>
          <w:rFonts w:eastAsia="宋体" w:cs="Times New Roman"/>
          <w:sz w:val="24"/>
        </w:rPr>
      </w:pPr>
      <w:r>
        <w:rPr>
          <w:rFonts w:hint="eastAsia"/>
          <w:sz w:val="24"/>
        </w:rPr>
        <mc:AlternateContent>
          <mc:Choice Requires="wps">
            <w:drawing>
              <wp:anchor distT="0" distB="0" distL="114300" distR="114300" simplePos="0" relativeHeight="251693056" behindDoc="0" locked="0" layoutInCell="1" allowOverlap="1">
                <wp:simplePos x="0" y="0"/>
                <wp:positionH relativeFrom="column">
                  <wp:posOffset>1640840</wp:posOffset>
                </wp:positionH>
                <wp:positionV relativeFrom="paragraph">
                  <wp:posOffset>1723390</wp:posOffset>
                </wp:positionV>
                <wp:extent cx="428625" cy="421640"/>
                <wp:effectExtent l="0" t="0" r="10160" b="17145"/>
                <wp:wrapNone/>
                <wp:docPr id="28675" name="矩形 28675"/>
                <wp:cNvGraphicFramePr/>
                <a:graphic xmlns:a="http://schemas.openxmlformats.org/drawingml/2006/main">
                  <a:graphicData uri="http://schemas.microsoft.com/office/word/2010/wordprocessingShape">
                    <wps:wsp>
                      <wps:cNvSpPr/>
                      <wps:spPr>
                        <a:xfrm>
                          <a:off x="0" y="0"/>
                          <a:ext cx="428400" cy="4214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2pt;margin-top:135.7pt;height:33.2pt;width:33.75pt;z-index:251693056;v-text-anchor:middle;mso-width-relative:page;mso-height-relative:page;" fillcolor="#FFFFFF [3212]" filled="t" stroked="t" coordsize="21600,21600" o:gfxdata="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5M+d92AAAAAsBAAAPAAAAAAAAAAEAIAAAACIAAABkcnMvZG93bnJl&#10;di54bWxQSwECFAAUAAAACACHTuJAEHjnuW8CAAD7BAAADgAAAAAAAAABACAAAAAnAQAAZHJzL2Uy&#10;b0RvYy54bWxQSwUGAAAAAAYABgBZAQAACAYAAAAA&#10;">
                <v:fill on="t" focussize="0,0"/>
                <v:stroke weight="1pt" color="#FFFFFF [3212]" miterlimit="8" joinstyle="miter"/>
                <v:imagedata o:title=""/>
                <o:lock v:ext="edit" aspectratio="f"/>
              </v:rect>
            </w:pict>
          </mc:Fallback>
        </mc:AlternateContent>
      </w:r>
      <w:r>
        <w:rPr>
          <w:rFonts w:eastAsia="宋体" w:cs="Times New Roman"/>
          <w:sz w:val="24"/>
        </w:rPr>
        <w:t xml:space="preserve"> </w:t>
      </w:r>
      <w:r>
        <w:rPr>
          <w:rFonts w:eastAsia="宋体" w:cs="Times New Roman"/>
          <w:sz w:val="24"/>
        </w:rPr>
        <w:drawing>
          <wp:inline distT="0" distB="0" distL="0" distR="0">
            <wp:extent cx="3744595" cy="4226560"/>
            <wp:effectExtent l="0" t="0" r="8255" b="2540"/>
            <wp:docPr id="28672" name="图片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2" name="图片 28672"/>
                    <pic:cNvPicPr>
                      <a:picLocks noChangeAspect="1"/>
                    </pic:cNvPicPr>
                  </pic:nvPicPr>
                  <pic:blipFill>
                    <a:blip r:embed="rId51" cstate="print">
                      <a:extLst>
                        <a:ext uri="{28A0092B-C50C-407E-A947-70E740481C1C}">
                          <a14:useLocalDpi xmlns:a14="http://schemas.microsoft.com/office/drawing/2010/main" val="0"/>
                        </a:ext>
                      </a:extLst>
                    </a:blip>
                    <a:srcRect l="5317" r="2445"/>
                    <a:stretch>
                      <a:fillRect/>
                    </a:stretch>
                  </pic:blipFill>
                  <pic:spPr>
                    <a:xfrm>
                      <a:off x="0" y="0"/>
                      <a:ext cx="3748281" cy="4230293"/>
                    </a:xfrm>
                    <a:prstGeom prst="rect">
                      <a:avLst/>
                    </a:prstGeom>
                    <a:ln>
                      <a:noFill/>
                    </a:ln>
                  </pic:spPr>
                </pic:pic>
              </a:graphicData>
            </a:graphic>
          </wp:inline>
        </w:drawing>
      </w:r>
    </w:p>
    <w:p>
      <w:pPr>
        <w:adjustRightInd w:val="0"/>
        <w:snapToGrid w:val="0"/>
        <w:spacing w:line="360" w:lineRule="auto"/>
        <w:contextualSpacing/>
        <w:jc w:val="center"/>
        <w:rPr>
          <w:rFonts w:eastAsia="宋体" w:cs="Times New Roman"/>
          <w:sz w:val="21"/>
          <w:szCs w:val="21"/>
        </w:rPr>
      </w:pP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-15输送带防护栏要求</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15.产生大量蒸汽、腐蚀性气体、粉尘等的场所，应采用封闭式电气设备；有爆炸危险的气体或粉尘的作业场所，应采用防爆型电气设备。</w:t>
      </w:r>
    </w:p>
    <w:p>
      <w:pPr>
        <w:adjustRightInd w:val="0"/>
        <w:snapToGrid w:val="0"/>
        <w:spacing w:line="360" w:lineRule="auto"/>
        <w:ind w:firstLine="480" w:firstLineChars="200"/>
        <w:contextualSpacing/>
        <w:jc w:val="left"/>
        <w:rPr>
          <w:rFonts w:eastAsia="宋体" w:cs="Times New Roman"/>
          <w:sz w:val="24"/>
          <w:szCs w:val="18"/>
        </w:rPr>
      </w:pPr>
      <w:r>
        <w:rPr>
          <w:rFonts w:hint="eastAsia" w:eastAsia="宋体" w:cs="Times New Roman"/>
          <w:sz w:val="24"/>
          <w:szCs w:val="18"/>
        </w:rPr>
        <w:t>释义：</w:t>
      </w:r>
    </w:p>
    <w:p>
      <w:pPr>
        <w:adjustRightInd w:val="0"/>
        <w:snapToGrid w:val="0"/>
        <w:spacing w:line="360" w:lineRule="auto"/>
        <w:contextualSpacing/>
        <w:jc w:val="left"/>
        <w:rPr>
          <w:rFonts w:eastAsia="宋体" w:cs="Times New Roman"/>
          <w:sz w:val="24"/>
        </w:rPr>
      </w:pPr>
      <w:r>
        <w:rPr>
          <w:rFonts w:cs="Times New Roman"/>
        </w:rPr>
        <w:drawing>
          <wp:inline distT="0" distB="0" distL="0" distR="0">
            <wp:extent cx="1849755" cy="2357755"/>
            <wp:effectExtent l="0" t="0" r="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2"/>
                    <a:srcRect t="6406"/>
                    <a:stretch>
                      <a:fillRect/>
                    </a:stretch>
                  </pic:blipFill>
                  <pic:spPr>
                    <a:xfrm>
                      <a:off x="0" y="0"/>
                      <a:ext cx="1850338" cy="2358584"/>
                    </a:xfrm>
                    <a:prstGeom prst="rect">
                      <a:avLst/>
                    </a:prstGeom>
                    <a:ln>
                      <a:noFill/>
                    </a:ln>
                  </pic:spPr>
                </pic:pic>
              </a:graphicData>
            </a:graphic>
          </wp:inline>
        </w:drawing>
      </w:r>
      <w:r>
        <w:rPr>
          <w:rFonts w:eastAsia="宋体" w:cs="Times New Roman"/>
          <w:sz w:val="24"/>
        </w:rPr>
        <w:t xml:space="preserve"> </w:t>
      </w:r>
      <w:r>
        <w:rPr>
          <w:rFonts w:cs="Times New Roman"/>
        </w:rPr>
        <w:drawing>
          <wp:inline distT="0" distB="0" distL="0" distR="0">
            <wp:extent cx="1943735" cy="2359660"/>
            <wp:effectExtent l="0" t="0" r="18415"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3"/>
                    <a:stretch>
                      <a:fillRect/>
                    </a:stretch>
                  </pic:blipFill>
                  <pic:spPr>
                    <a:xfrm>
                      <a:off x="0" y="0"/>
                      <a:ext cx="1944000" cy="2359660"/>
                    </a:xfrm>
                    <a:prstGeom prst="rect">
                      <a:avLst/>
                    </a:prstGeom>
                  </pic:spPr>
                </pic:pic>
              </a:graphicData>
            </a:graphic>
          </wp:inline>
        </w:drawing>
      </w:r>
    </w:p>
    <w:p>
      <w:pPr>
        <w:adjustRightInd w:val="0"/>
        <w:snapToGrid w:val="0"/>
        <w:spacing w:line="360" w:lineRule="auto"/>
        <w:contextualSpacing/>
        <w:rPr>
          <w:rFonts w:eastAsia="宋体" w:cs="Times New Roman"/>
          <w:sz w:val="21"/>
          <w:szCs w:val="21"/>
        </w:rPr>
      </w:pP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-16</w:t>
      </w:r>
      <w:r>
        <w:rPr>
          <w:rFonts w:eastAsia="宋体" w:cs="Times New Roman"/>
          <w:sz w:val="21"/>
          <w:szCs w:val="21"/>
        </w:rPr>
        <w:t>电气设备外壳</w:t>
      </w:r>
      <w:r>
        <w:rPr>
          <w:rFonts w:hint="eastAsia" w:eastAsia="宋体" w:cs="Times New Roman"/>
          <w:sz w:val="21"/>
          <w:szCs w:val="21"/>
        </w:rPr>
        <w:t>防护等级图</w:t>
      </w:r>
      <w:r>
        <w:rPr>
          <w:rFonts w:eastAsia="宋体" w:cs="Times New Roman"/>
          <w:sz w:val="21"/>
          <w:szCs w:val="21"/>
        </w:rPr>
        <w:t>6.1</w:t>
      </w:r>
      <w:r>
        <w:rPr>
          <w:rFonts w:hint="eastAsia" w:eastAsia="宋体" w:cs="Times New Roman"/>
          <w:sz w:val="21"/>
          <w:szCs w:val="21"/>
        </w:rPr>
        <w:t>-17粉尘爆炸场所用防爆电气</w:t>
      </w:r>
    </w:p>
    <w:p>
      <w:pPr>
        <w:adjustRightInd w:val="0"/>
        <w:snapToGrid w:val="0"/>
        <w:spacing w:line="360" w:lineRule="auto"/>
        <w:contextualSpacing/>
        <w:rPr>
          <w:rFonts w:eastAsia="宋体" w:cs="Times New Roman"/>
          <w:sz w:val="21"/>
          <w:szCs w:val="21"/>
        </w:rPr>
      </w:pPr>
      <w:r>
        <w:rPr>
          <w:rFonts w:hint="eastAsia" w:eastAsia="宋体" w:cs="Times New Roman"/>
          <w:sz w:val="21"/>
          <w:szCs w:val="21"/>
        </w:rPr>
        <w:t xml:space="preserve">不低于IP54 </w:t>
      </w:r>
    </w:p>
    <w:p>
      <w:pPr>
        <w:adjustRightInd w:val="0"/>
        <w:snapToGrid w:val="0"/>
        <w:spacing w:line="360" w:lineRule="auto"/>
        <w:contextualSpacing/>
        <w:jc w:val="center"/>
        <w:rPr>
          <w:rFonts w:eastAsia="宋体" w:cs="Times New Roman"/>
          <w:b/>
          <w:bCs/>
          <w:sz w:val="21"/>
          <w:szCs w:val="21"/>
        </w:rPr>
      </w:pPr>
      <w:r>
        <w:rPr>
          <w:rFonts w:hint="eastAsia" w:eastAsia="宋体" w:cs="Times New Roman"/>
          <w:b/>
          <w:bCs/>
          <w:sz w:val="21"/>
          <w:szCs w:val="21"/>
        </w:rPr>
        <w:t>表</w:t>
      </w:r>
      <w:r>
        <w:rPr>
          <w:rFonts w:eastAsia="宋体" w:cs="Times New Roman"/>
          <w:b/>
          <w:bCs/>
          <w:sz w:val="21"/>
          <w:szCs w:val="21"/>
        </w:rPr>
        <w:t>6.1</w:t>
      </w:r>
      <w:r>
        <w:rPr>
          <w:rFonts w:hint="eastAsia" w:eastAsia="宋体" w:cs="Times New Roman"/>
          <w:b/>
          <w:bCs/>
          <w:sz w:val="21"/>
          <w:szCs w:val="21"/>
        </w:rPr>
        <w:t>-1涉爆粉尘相关标准规范汇总</w:t>
      </w:r>
    </w:p>
    <w:tbl>
      <w:tblPr>
        <w:tblStyle w:val="17"/>
        <w:tblW w:w="6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701"/>
        <w:gridCol w:w="37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04" w:type="dxa"/>
          </w:tcPr>
          <w:p>
            <w:pPr>
              <w:jc w:val="center"/>
              <w:rPr>
                <w:rFonts w:eastAsia="宋体" w:cs="Times New Roman"/>
                <w:sz w:val="21"/>
                <w:szCs w:val="21"/>
              </w:rPr>
            </w:pPr>
            <w:r>
              <w:rPr>
                <w:rFonts w:eastAsia="宋体" w:cs="Times New Roman"/>
                <w:sz w:val="21"/>
                <w:szCs w:val="21"/>
              </w:rPr>
              <w:t>序号</w:t>
            </w:r>
          </w:p>
        </w:tc>
        <w:tc>
          <w:tcPr>
            <w:tcW w:w="1701" w:type="dxa"/>
          </w:tcPr>
          <w:p>
            <w:pPr>
              <w:jc w:val="center"/>
              <w:rPr>
                <w:rFonts w:eastAsia="宋体" w:cs="Times New Roman"/>
                <w:sz w:val="21"/>
                <w:szCs w:val="21"/>
              </w:rPr>
            </w:pPr>
            <w:r>
              <w:rPr>
                <w:rFonts w:eastAsia="宋体" w:cs="Times New Roman"/>
                <w:sz w:val="21"/>
                <w:szCs w:val="21"/>
              </w:rPr>
              <w:t>标准号</w:t>
            </w:r>
          </w:p>
        </w:tc>
        <w:tc>
          <w:tcPr>
            <w:tcW w:w="3775" w:type="dxa"/>
          </w:tcPr>
          <w:p>
            <w:pPr>
              <w:jc w:val="center"/>
              <w:rPr>
                <w:rFonts w:eastAsia="宋体" w:cs="Times New Roman"/>
                <w:sz w:val="21"/>
                <w:szCs w:val="21"/>
              </w:rPr>
            </w:pPr>
            <w:r>
              <w:rPr>
                <w:rFonts w:eastAsia="宋体" w:cs="Times New Roman"/>
                <w:sz w:val="21"/>
                <w:szCs w:val="21"/>
              </w:rPr>
              <w:t>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AQ 4228-2012</w:t>
            </w:r>
          </w:p>
        </w:tc>
        <w:tc>
          <w:tcPr>
            <w:tcW w:w="3775" w:type="dxa"/>
          </w:tcPr>
          <w:p>
            <w:pPr>
              <w:jc w:val="center"/>
              <w:rPr>
                <w:rFonts w:eastAsia="宋体" w:cs="Times New Roman"/>
                <w:sz w:val="21"/>
                <w:szCs w:val="21"/>
              </w:rPr>
            </w:pPr>
            <w:r>
              <w:rPr>
                <w:rFonts w:eastAsia="宋体" w:cs="Times New Roman"/>
                <w:sz w:val="21"/>
                <w:szCs w:val="21"/>
              </w:rPr>
              <w:t>木材加工系统粉尘防爆安全规范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AQ 4272-2016 </w:t>
            </w:r>
          </w:p>
        </w:tc>
        <w:tc>
          <w:tcPr>
            <w:tcW w:w="3775" w:type="dxa"/>
          </w:tcPr>
          <w:p>
            <w:pPr>
              <w:jc w:val="center"/>
              <w:rPr>
                <w:rFonts w:eastAsia="宋体" w:cs="Times New Roman"/>
                <w:sz w:val="21"/>
                <w:szCs w:val="21"/>
              </w:rPr>
            </w:pPr>
            <w:r>
              <w:rPr>
                <w:rFonts w:eastAsia="宋体" w:cs="Times New Roman"/>
                <w:sz w:val="21"/>
                <w:szCs w:val="21"/>
              </w:rPr>
              <w:t>铝镁制品机械加工粉尘防爆安全技术规范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AQ 4273-2016 </w:t>
            </w:r>
          </w:p>
        </w:tc>
        <w:tc>
          <w:tcPr>
            <w:tcW w:w="3775" w:type="dxa"/>
          </w:tcPr>
          <w:p>
            <w:pPr>
              <w:jc w:val="center"/>
              <w:rPr>
                <w:rFonts w:eastAsia="宋体" w:cs="Times New Roman"/>
                <w:sz w:val="21"/>
                <w:szCs w:val="21"/>
              </w:rPr>
            </w:pPr>
            <w:r>
              <w:rPr>
                <w:rFonts w:eastAsia="宋体" w:cs="Times New Roman"/>
                <w:sz w:val="21"/>
                <w:szCs w:val="21"/>
              </w:rPr>
              <w:t>粉尘爆炸危险场所用除尘系统安全技术规范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GB 15577-2018 </w:t>
            </w:r>
          </w:p>
        </w:tc>
        <w:tc>
          <w:tcPr>
            <w:tcW w:w="3775" w:type="dxa"/>
          </w:tcPr>
          <w:p>
            <w:pPr>
              <w:jc w:val="center"/>
              <w:rPr>
                <w:rFonts w:eastAsia="宋体" w:cs="Times New Roman"/>
                <w:sz w:val="21"/>
                <w:szCs w:val="21"/>
              </w:rPr>
            </w:pPr>
            <w:r>
              <w:rPr>
                <w:rFonts w:eastAsia="宋体" w:cs="Times New Roman"/>
                <w:sz w:val="21"/>
                <w:szCs w:val="21"/>
              </w:rPr>
              <w:t>粉尘防爆安全规程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GB 17269-2003 </w:t>
            </w:r>
          </w:p>
        </w:tc>
        <w:tc>
          <w:tcPr>
            <w:tcW w:w="3775" w:type="dxa"/>
          </w:tcPr>
          <w:p>
            <w:pPr>
              <w:jc w:val="center"/>
              <w:rPr>
                <w:rFonts w:eastAsia="宋体" w:cs="Times New Roman"/>
                <w:sz w:val="21"/>
                <w:szCs w:val="21"/>
              </w:rPr>
            </w:pPr>
            <w:r>
              <w:rPr>
                <w:rFonts w:eastAsia="宋体" w:cs="Times New Roman"/>
                <w:sz w:val="21"/>
                <w:szCs w:val="21"/>
              </w:rPr>
              <w:t>铝镁粉加工粉尘防爆安全规程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GB 19881-2005 </w:t>
            </w:r>
          </w:p>
        </w:tc>
        <w:tc>
          <w:tcPr>
            <w:tcW w:w="3775" w:type="dxa"/>
          </w:tcPr>
          <w:p>
            <w:pPr>
              <w:jc w:val="center"/>
              <w:rPr>
                <w:rFonts w:eastAsia="宋体" w:cs="Times New Roman"/>
                <w:sz w:val="21"/>
                <w:szCs w:val="21"/>
              </w:rPr>
            </w:pPr>
            <w:r>
              <w:rPr>
                <w:rFonts w:eastAsia="宋体" w:cs="Times New Roman"/>
                <w:sz w:val="21"/>
                <w:szCs w:val="21"/>
              </w:rPr>
              <w:t>亚麻纤维加工系统粉尘防爆安全规程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GB 32276-2015 </w:t>
            </w:r>
          </w:p>
        </w:tc>
        <w:tc>
          <w:tcPr>
            <w:tcW w:w="3775" w:type="dxa"/>
          </w:tcPr>
          <w:p>
            <w:pPr>
              <w:jc w:val="center"/>
              <w:rPr>
                <w:rFonts w:eastAsia="宋体" w:cs="Times New Roman"/>
                <w:sz w:val="21"/>
                <w:szCs w:val="21"/>
              </w:rPr>
            </w:pPr>
            <w:r>
              <w:rPr>
                <w:rFonts w:eastAsia="宋体" w:cs="Times New Roman"/>
                <w:sz w:val="21"/>
                <w:szCs w:val="21"/>
              </w:rPr>
              <w:t>纺织工业粉尘防爆安全规程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GB 50058-2014 </w:t>
            </w:r>
          </w:p>
        </w:tc>
        <w:tc>
          <w:tcPr>
            <w:tcW w:w="3775" w:type="dxa"/>
          </w:tcPr>
          <w:p>
            <w:pPr>
              <w:jc w:val="center"/>
              <w:rPr>
                <w:rFonts w:eastAsia="宋体" w:cs="Times New Roman"/>
                <w:sz w:val="21"/>
                <w:szCs w:val="21"/>
              </w:rPr>
            </w:pPr>
            <w:r>
              <w:rPr>
                <w:rFonts w:eastAsia="宋体" w:cs="Times New Roman"/>
                <w:sz w:val="21"/>
                <w:szCs w:val="21"/>
              </w:rPr>
              <w:t>爆炸危险环境电力装置设计规范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GBT 15604-2008 </w:t>
            </w:r>
          </w:p>
        </w:tc>
        <w:tc>
          <w:tcPr>
            <w:tcW w:w="3775" w:type="dxa"/>
          </w:tcPr>
          <w:p>
            <w:pPr>
              <w:jc w:val="center"/>
              <w:rPr>
                <w:rFonts w:eastAsia="宋体" w:cs="Times New Roman"/>
                <w:sz w:val="21"/>
                <w:szCs w:val="21"/>
              </w:rPr>
            </w:pPr>
            <w:r>
              <w:rPr>
                <w:rFonts w:eastAsia="宋体" w:cs="Times New Roman"/>
                <w:sz w:val="21"/>
                <w:szCs w:val="21"/>
              </w:rPr>
              <w:t>粉尘防爆术语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GBT 15605-2008 </w:t>
            </w:r>
          </w:p>
        </w:tc>
        <w:tc>
          <w:tcPr>
            <w:tcW w:w="3775" w:type="dxa"/>
          </w:tcPr>
          <w:p>
            <w:pPr>
              <w:jc w:val="center"/>
              <w:rPr>
                <w:rFonts w:eastAsia="宋体" w:cs="Times New Roman"/>
                <w:sz w:val="21"/>
                <w:szCs w:val="21"/>
              </w:rPr>
            </w:pPr>
            <w:r>
              <w:rPr>
                <w:rFonts w:eastAsia="宋体" w:cs="Times New Roman"/>
                <w:sz w:val="21"/>
                <w:szCs w:val="21"/>
              </w:rPr>
              <w:t>粉尘爆炸泄压指南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04" w:type="dxa"/>
          </w:tcPr>
          <w:p>
            <w:pPr>
              <w:pStyle w:val="31"/>
              <w:numPr>
                <w:ilvl w:val="0"/>
                <w:numId w:val="1"/>
              </w:numPr>
              <w:ind w:left="0" w:firstLine="0" w:firstLineChars="0"/>
              <w:jc w:val="center"/>
              <w:rPr>
                <w:rFonts w:eastAsia="宋体" w:cs="Times New Roman"/>
                <w:sz w:val="21"/>
                <w:szCs w:val="21"/>
              </w:rPr>
            </w:pPr>
          </w:p>
        </w:tc>
        <w:tc>
          <w:tcPr>
            <w:tcW w:w="1701" w:type="dxa"/>
          </w:tcPr>
          <w:p>
            <w:pPr>
              <w:jc w:val="center"/>
              <w:rPr>
                <w:rFonts w:eastAsia="宋体" w:cs="Times New Roman"/>
                <w:sz w:val="21"/>
                <w:szCs w:val="21"/>
              </w:rPr>
            </w:pPr>
            <w:r>
              <w:rPr>
                <w:rFonts w:eastAsia="宋体" w:cs="Times New Roman"/>
                <w:sz w:val="21"/>
                <w:szCs w:val="21"/>
              </w:rPr>
              <w:t xml:space="preserve">GBT 17919-2008 </w:t>
            </w:r>
          </w:p>
        </w:tc>
        <w:tc>
          <w:tcPr>
            <w:tcW w:w="3775" w:type="dxa"/>
          </w:tcPr>
          <w:p>
            <w:pPr>
              <w:jc w:val="center"/>
              <w:rPr>
                <w:rFonts w:eastAsia="宋体" w:cs="Times New Roman"/>
                <w:sz w:val="21"/>
                <w:szCs w:val="21"/>
              </w:rPr>
            </w:pPr>
            <w:r>
              <w:rPr>
                <w:rFonts w:eastAsia="宋体" w:cs="Times New Roman"/>
                <w:sz w:val="21"/>
                <w:szCs w:val="21"/>
              </w:rPr>
              <w:t>粉尘爆炸危险场所用收尘器防爆导则</w:t>
            </w:r>
          </w:p>
        </w:tc>
      </w:tr>
    </w:tbl>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16.使用表压超过0.1MPa的油、水、煤气、蒸汽、空气和其他气体的设备和管道系统，应安装压力表、安全阀等安全装置，并应定期检定。</w:t>
      </w:r>
    </w:p>
    <w:p>
      <w:pPr>
        <w:adjustRightInd w:val="0"/>
        <w:snapToGrid w:val="0"/>
        <w:spacing w:line="360" w:lineRule="auto"/>
        <w:ind w:firstLine="480" w:firstLineChars="200"/>
        <w:contextualSpacing/>
        <w:jc w:val="left"/>
        <w:rPr>
          <w:rFonts w:eastAsia="宋体" w:cs="Times New Roman"/>
          <w:sz w:val="24"/>
          <w:szCs w:val="18"/>
        </w:rPr>
      </w:pPr>
      <w:r>
        <w:rPr>
          <w:rFonts w:hint="eastAsia" w:eastAsia="宋体" w:cs="Times New Roman"/>
          <w:sz w:val="24"/>
          <w:szCs w:val="18"/>
        </w:rPr>
        <w:t>释义：</w:t>
      </w:r>
    </w:p>
    <w:p>
      <w:pPr>
        <w:adjustRightInd w:val="0"/>
        <w:snapToGrid w:val="0"/>
        <w:spacing w:line="360" w:lineRule="auto"/>
        <w:contextualSpacing/>
        <w:jc w:val="center"/>
        <w:rPr>
          <w:rFonts w:eastAsia="宋体" w:cs="Times New Roman"/>
          <w:b/>
          <w:bCs/>
          <w:szCs w:val="21"/>
        </w:rPr>
      </w:pPr>
      <w:r>
        <w:rPr>
          <w:rFonts w:cs="Times New Roman"/>
        </w:rPr>
        <w:drawing>
          <wp:inline distT="0" distB="0" distL="0" distR="0">
            <wp:extent cx="2352040" cy="1908810"/>
            <wp:effectExtent l="0" t="0" r="10160" b="152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4"/>
                    <a:stretch>
                      <a:fillRect/>
                    </a:stretch>
                  </pic:blipFill>
                  <pic:spPr>
                    <a:xfrm>
                      <a:off x="0" y="0"/>
                      <a:ext cx="2352040" cy="1908810"/>
                    </a:xfrm>
                    <a:prstGeom prst="rect">
                      <a:avLst/>
                    </a:prstGeom>
                  </pic:spPr>
                </pic:pic>
              </a:graphicData>
            </a:graphic>
          </wp:inline>
        </w:drawing>
      </w:r>
    </w:p>
    <w:p>
      <w:pPr>
        <w:adjustRightInd w:val="0"/>
        <w:snapToGrid w:val="0"/>
        <w:spacing w:line="360" w:lineRule="auto"/>
        <w:contextualSpacing/>
        <w:jc w:val="center"/>
        <w:rPr>
          <w:rFonts w:eastAsia="宋体" w:cs="Times New Roman"/>
          <w:sz w:val="21"/>
          <w:szCs w:val="21"/>
        </w:rPr>
      </w:pP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-18</w:t>
      </w:r>
      <w:r>
        <w:rPr>
          <w:rFonts w:eastAsia="宋体" w:cs="Times New Roman"/>
          <w:sz w:val="21"/>
          <w:szCs w:val="21"/>
        </w:rPr>
        <w:t>表压超过0.1MPa氮气输送管道上设置安全阀、压力表</w:t>
      </w:r>
    </w:p>
    <w:p>
      <w:pPr>
        <w:adjustRightInd w:val="0"/>
        <w:snapToGrid w:val="0"/>
        <w:spacing w:line="360" w:lineRule="auto"/>
        <w:contextualSpacing/>
        <w:jc w:val="center"/>
        <w:rPr>
          <w:rFonts w:eastAsia="宋体" w:cs="Times New Roman"/>
          <w:sz w:val="24"/>
        </w:rPr>
      </w:pPr>
      <w:r>
        <w:rPr>
          <w:rFonts w:cs="Times New Roman"/>
        </w:rPr>
        <w:drawing>
          <wp:inline distT="0" distB="0" distL="0" distR="0">
            <wp:extent cx="1325245" cy="1993265"/>
            <wp:effectExtent l="0" t="0" r="8255" b="698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5"/>
                    <a:stretch>
                      <a:fillRect/>
                    </a:stretch>
                  </pic:blipFill>
                  <pic:spPr>
                    <a:xfrm>
                      <a:off x="0" y="0"/>
                      <a:ext cx="1325245" cy="1993265"/>
                    </a:xfrm>
                    <a:prstGeom prst="rect">
                      <a:avLst/>
                    </a:prstGeom>
                  </pic:spPr>
                </pic:pic>
              </a:graphicData>
            </a:graphic>
          </wp:inline>
        </w:drawing>
      </w:r>
      <w:r>
        <w:rPr>
          <w:rFonts w:eastAsia="宋体" w:cs="Times New Roman"/>
          <w:sz w:val="24"/>
        </w:rPr>
        <w:t xml:space="preserve"> </w:t>
      </w:r>
      <w:r>
        <w:rPr>
          <w:rFonts w:cs="Times New Roman"/>
        </w:rPr>
        <w:drawing>
          <wp:inline distT="0" distB="0" distL="0" distR="0">
            <wp:extent cx="1420495" cy="1970405"/>
            <wp:effectExtent l="0" t="0" r="8255" b="1079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6"/>
                    <a:stretch>
                      <a:fillRect/>
                    </a:stretch>
                  </pic:blipFill>
                  <pic:spPr>
                    <a:xfrm>
                      <a:off x="0" y="0"/>
                      <a:ext cx="1420495" cy="1970405"/>
                    </a:xfrm>
                    <a:prstGeom prst="rect">
                      <a:avLst/>
                    </a:prstGeom>
                  </pic:spPr>
                </pic:pic>
              </a:graphicData>
            </a:graphic>
          </wp:inline>
        </w:drawing>
      </w:r>
    </w:p>
    <w:p>
      <w:pPr>
        <w:adjustRightInd w:val="0"/>
        <w:snapToGrid w:val="0"/>
        <w:spacing w:line="360" w:lineRule="auto"/>
        <w:contextualSpacing/>
        <w:jc w:val="center"/>
        <w:rPr>
          <w:rFonts w:eastAsia="宋体" w:cs="Times New Roman"/>
          <w:sz w:val="21"/>
          <w:szCs w:val="21"/>
        </w:rPr>
      </w:pP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-19</w:t>
      </w:r>
      <w:r>
        <w:rPr>
          <w:rFonts w:eastAsia="宋体" w:cs="Times New Roman"/>
          <w:sz w:val="21"/>
          <w:szCs w:val="21"/>
        </w:rPr>
        <w:t xml:space="preserve"> 安全阀、压力表定期检验报告</w:t>
      </w:r>
    </w:p>
    <w:p>
      <w:pPr>
        <w:adjustRightInd w:val="0"/>
        <w:snapToGrid w:val="0"/>
        <w:spacing w:line="360" w:lineRule="auto"/>
        <w:contextualSpacing/>
        <w:jc w:val="center"/>
        <w:rPr>
          <w:rFonts w:eastAsia="宋体" w:cs="Times New Roman"/>
          <w:sz w:val="21"/>
          <w:szCs w:val="21"/>
        </w:rPr>
      </w:pPr>
      <w:r>
        <w:rPr>
          <w:rFonts w:hint="eastAsia" w:eastAsia="宋体" w:cs="Times New Roman"/>
          <w:sz w:val="21"/>
          <w:szCs w:val="21"/>
        </w:rPr>
        <w:t>表</w:t>
      </w:r>
      <w:r>
        <w:rPr>
          <w:rFonts w:eastAsia="宋体" w:cs="Times New Roman"/>
          <w:sz w:val="21"/>
          <w:szCs w:val="21"/>
        </w:rPr>
        <w:t>6.1</w:t>
      </w:r>
      <w:r>
        <w:rPr>
          <w:rFonts w:hint="eastAsia" w:eastAsia="宋体" w:cs="Times New Roman"/>
          <w:sz w:val="21"/>
          <w:szCs w:val="21"/>
        </w:rPr>
        <w:t>-2</w:t>
      </w:r>
      <w:r>
        <w:rPr>
          <w:rFonts w:eastAsia="宋体" w:cs="Times New Roman"/>
          <w:sz w:val="21"/>
          <w:szCs w:val="21"/>
        </w:rPr>
        <w:t xml:space="preserve"> </w:t>
      </w:r>
      <w:r>
        <w:rPr>
          <w:rFonts w:hint="eastAsia" w:eastAsia="宋体" w:cs="Times New Roman"/>
          <w:sz w:val="21"/>
          <w:szCs w:val="21"/>
        </w:rPr>
        <w:t>实施强制管理的计量器具目录（部分）</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58"/>
        <w:gridCol w:w="668"/>
        <w:gridCol w:w="636"/>
        <w:gridCol w:w="624"/>
        <w:gridCol w:w="637"/>
        <w:gridCol w:w="2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jc w:val="center"/>
              <w:rPr>
                <w:rFonts w:eastAsia="宋体" w:cs="Times New Roman"/>
                <w:sz w:val="21"/>
                <w:szCs w:val="21"/>
              </w:rPr>
            </w:pPr>
            <w:r>
              <w:rPr>
                <w:rFonts w:eastAsia="宋体" w:cs="Times New Roman"/>
                <w:sz w:val="21"/>
                <w:szCs w:val="21"/>
              </w:rPr>
              <w:t>一级</w:t>
            </w:r>
          </w:p>
          <w:p>
            <w:pPr>
              <w:jc w:val="center"/>
              <w:rPr>
                <w:rFonts w:eastAsia="宋体" w:cs="Times New Roman"/>
                <w:sz w:val="21"/>
                <w:szCs w:val="21"/>
              </w:rPr>
            </w:pPr>
            <w:r>
              <w:rPr>
                <w:rFonts w:eastAsia="宋体" w:cs="Times New Roman"/>
                <w:sz w:val="21"/>
                <w:szCs w:val="21"/>
              </w:rPr>
              <w:t>序号</w:t>
            </w:r>
          </w:p>
        </w:tc>
        <w:tc>
          <w:tcPr>
            <w:tcW w:w="705" w:type="pct"/>
            <w:vAlign w:val="center"/>
          </w:tcPr>
          <w:p>
            <w:pPr>
              <w:jc w:val="center"/>
              <w:rPr>
                <w:rFonts w:eastAsia="宋体" w:cs="Times New Roman"/>
                <w:sz w:val="21"/>
                <w:szCs w:val="21"/>
              </w:rPr>
            </w:pPr>
            <w:r>
              <w:rPr>
                <w:rFonts w:eastAsia="宋体" w:cs="Times New Roman"/>
                <w:sz w:val="21"/>
                <w:szCs w:val="21"/>
              </w:rPr>
              <w:t>二级序号</w:t>
            </w:r>
          </w:p>
        </w:tc>
        <w:tc>
          <w:tcPr>
            <w:tcW w:w="553" w:type="pct"/>
            <w:vAlign w:val="center"/>
          </w:tcPr>
          <w:p>
            <w:pPr>
              <w:jc w:val="center"/>
              <w:rPr>
                <w:rFonts w:eastAsia="宋体" w:cs="Times New Roman"/>
                <w:sz w:val="21"/>
                <w:szCs w:val="21"/>
              </w:rPr>
            </w:pPr>
            <w:r>
              <w:rPr>
                <w:rFonts w:eastAsia="宋体" w:cs="Times New Roman"/>
                <w:sz w:val="21"/>
                <w:szCs w:val="21"/>
              </w:rPr>
              <w:t>一级目录</w:t>
            </w:r>
          </w:p>
        </w:tc>
        <w:tc>
          <w:tcPr>
            <w:tcW w:w="520" w:type="pct"/>
            <w:vAlign w:val="center"/>
          </w:tcPr>
          <w:p>
            <w:pPr>
              <w:jc w:val="center"/>
              <w:rPr>
                <w:rFonts w:eastAsia="宋体" w:cs="Times New Roman"/>
                <w:sz w:val="21"/>
                <w:szCs w:val="21"/>
              </w:rPr>
            </w:pPr>
            <w:r>
              <w:rPr>
                <w:rFonts w:eastAsia="宋体" w:cs="Times New Roman"/>
                <w:sz w:val="21"/>
                <w:szCs w:val="21"/>
              </w:rPr>
              <w:t>二级目录</w:t>
            </w:r>
          </w:p>
        </w:tc>
        <w:tc>
          <w:tcPr>
            <w:tcW w:w="525" w:type="pct"/>
            <w:vAlign w:val="center"/>
          </w:tcPr>
          <w:p>
            <w:pPr>
              <w:jc w:val="center"/>
              <w:rPr>
                <w:rFonts w:eastAsia="宋体" w:cs="Times New Roman"/>
                <w:sz w:val="21"/>
                <w:szCs w:val="21"/>
              </w:rPr>
            </w:pPr>
            <w:r>
              <w:rPr>
                <w:rFonts w:eastAsia="宋体" w:cs="Times New Roman"/>
                <w:sz w:val="21"/>
                <w:szCs w:val="21"/>
              </w:rPr>
              <w:t>监管方式</w:t>
            </w:r>
          </w:p>
        </w:tc>
        <w:tc>
          <w:tcPr>
            <w:tcW w:w="348" w:type="pct"/>
            <w:vAlign w:val="center"/>
          </w:tcPr>
          <w:p>
            <w:pPr>
              <w:jc w:val="center"/>
              <w:rPr>
                <w:rFonts w:eastAsia="宋体" w:cs="Times New Roman"/>
                <w:sz w:val="21"/>
                <w:szCs w:val="21"/>
              </w:rPr>
            </w:pPr>
            <w:r>
              <w:rPr>
                <w:rFonts w:eastAsia="宋体" w:cs="Times New Roman"/>
                <w:sz w:val="21"/>
                <w:szCs w:val="21"/>
              </w:rPr>
              <w:t>强检方式</w:t>
            </w:r>
          </w:p>
        </w:tc>
        <w:tc>
          <w:tcPr>
            <w:tcW w:w="1989" w:type="pct"/>
            <w:vAlign w:val="center"/>
          </w:tcPr>
          <w:p>
            <w:pPr>
              <w:jc w:val="center"/>
              <w:rPr>
                <w:rFonts w:eastAsia="宋体" w:cs="Times New Roman"/>
                <w:sz w:val="21"/>
                <w:szCs w:val="21"/>
              </w:rPr>
            </w:pPr>
            <w:r>
              <w:rPr>
                <w:rFonts w:eastAsia="宋体" w:cs="Times New Roman"/>
                <w:sz w:val="21"/>
                <w:szCs w:val="21"/>
              </w:rPr>
              <w:t>强检范围及说明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jc w:val="center"/>
              <w:rPr>
                <w:rFonts w:eastAsia="宋体" w:cs="Times New Roman"/>
                <w:sz w:val="21"/>
                <w:szCs w:val="21"/>
              </w:rPr>
            </w:pPr>
            <w:r>
              <w:rPr>
                <w:rFonts w:eastAsia="宋体" w:cs="Times New Roman"/>
                <w:sz w:val="21"/>
                <w:szCs w:val="21"/>
              </w:rPr>
              <w:t>16</w:t>
            </w:r>
          </w:p>
        </w:tc>
        <w:tc>
          <w:tcPr>
            <w:tcW w:w="705" w:type="pct"/>
            <w:vAlign w:val="center"/>
          </w:tcPr>
          <w:p>
            <w:pPr>
              <w:jc w:val="center"/>
              <w:rPr>
                <w:rFonts w:eastAsia="宋体" w:cs="Times New Roman"/>
                <w:sz w:val="21"/>
                <w:szCs w:val="21"/>
              </w:rPr>
            </w:pPr>
            <w:r>
              <w:rPr>
                <w:rFonts w:eastAsia="宋体" w:cs="Times New Roman"/>
                <w:sz w:val="21"/>
                <w:szCs w:val="21"/>
              </w:rPr>
              <w:t>（21）</w:t>
            </w:r>
          </w:p>
        </w:tc>
        <w:tc>
          <w:tcPr>
            <w:tcW w:w="553" w:type="pct"/>
            <w:vAlign w:val="center"/>
          </w:tcPr>
          <w:p>
            <w:pPr>
              <w:jc w:val="center"/>
              <w:rPr>
                <w:rFonts w:eastAsia="宋体" w:cs="Times New Roman"/>
                <w:sz w:val="21"/>
                <w:szCs w:val="21"/>
              </w:rPr>
            </w:pPr>
            <w:r>
              <w:rPr>
                <w:rFonts w:eastAsia="宋体" w:cs="Times New Roman"/>
                <w:sz w:val="21"/>
                <w:szCs w:val="21"/>
              </w:rPr>
              <w:t>压力仪表</w:t>
            </w:r>
          </w:p>
        </w:tc>
        <w:tc>
          <w:tcPr>
            <w:tcW w:w="520" w:type="pct"/>
            <w:vAlign w:val="center"/>
          </w:tcPr>
          <w:p>
            <w:pPr>
              <w:jc w:val="center"/>
              <w:rPr>
                <w:rFonts w:eastAsia="宋体" w:cs="Times New Roman"/>
                <w:sz w:val="21"/>
                <w:szCs w:val="21"/>
              </w:rPr>
            </w:pPr>
            <w:r>
              <w:rPr>
                <w:rFonts w:eastAsia="宋体" w:cs="Times New Roman"/>
                <w:sz w:val="21"/>
                <w:szCs w:val="21"/>
              </w:rPr>
              <w:t>指示类压力表、显示类压力表</w:t>
            </w:r>
          </w:p>
        </w:tc>
        <w:tc>
          <w:tcPr>
            <w:tcW w:w="525" w:type="pct"/>
            <w:vAlign w:val="center"/>
          </w:tcPr>
          <w:p>
            <w:pPr>
              <w:jc w:val="center"/>
              <w:rPr>
                <w:rFonts w:eastAsia="宋体" w:cs="Times New Roman"/>
                <w:sz w:val="21"/>
                <w:szCs w:val="21"/>
              </w:rPr>
            </w:pPr>
            <w:r>
              <w:rPr>
                <w:rFonts w:eastAsia="宋体" w:cs="Times New Roman"/>
                <w:sz w:val="21"/>
                <w:szCs w:val="21"/>
              </w:rPr>
              <w:t>型式批准</w:t>
            </w:r>
          </w:p>
          <w:p>
            <w:pPr>
              <w:jc w:val="center"/>
              <w:rPr>
                <w:rFonts w:eastAsia="宋体" w:cs="Times New Roman"/>
                <w:sz w:val="21"/>
                <w:szCs w:val="21"/>
              </w:rPr>
            </w:pPr>
            <w:r>
              <w:rPr>
                <w:rFonts w:eastAsia="宋体" w:cs="Times New Roman"/>
                <w:sz w:val="21"/>
                <w:szCs w:val="21"/>
              </w:rPr>
              <w:t>强制检定</w:t>
            </w:r>
          </w:p>
        </w:tc>
        <w:tc>
          <w:tcPr>
            <w:tcW w:w="348" w:type="pct"/>
            <w:vAlign w:val="center"/>
          </w:tcPr>
          <w:p>
            <w:pPr>
              <w:jc w:val="center"/>
              <w:rPr>
                <w:rFonts w:eastAsia="宋体" w:cs="Times New Roman"/>
                <w:sz w:val="21"/>
                <w:szCs w:val="21"/>
              </w:rPr>
            </w:pPr>
            <w:r>
              <w:rPr>
                <w:rFonts w:eastAsia="宋体" w:cs="Times New Roman"/>
                <w:sz w:val="21"/>
                <w:szCs w:val="21"/>
              </w:rPr>
              <w:t>周期检定</w:t>
            </w:r>
          </w:p>
        </w:tc>
        <w:tc>
          <w:tcPr>
            <w:tcW w:w="1989" w:type="pct"/>
            <w:vAlign w:val="center"/>
          </w:tcPr>
          <w:p>
            <w:pPr>
              <w:jc w:val="center"/>
              <w:rPr>
                <w:rFonts w:eastAsia="宋体" w:cs="Times New Roman"/>
                <w:sz w:val="21"/>
                <w:szCs w:val="21"/>
              </w:rPr>
            </w:pPr>
            <w:r>
              <w:rPr>
                <w:rFonts w:eastAsia="宋体" w:cs="Times New Roman"/>
                <w:sz w:val="21"/>
                <w:szCs w:val="21"/>
              </w:rPr>
              <w:t>用于安全防护：1.电站锅炉主气包和给水压力的测量；2.固定式空压机风仓及总管压力的测量；3.发电机、气轮机油压及机车压力的测量；4.带报警装置压力的测量；5.密封增压容器压力的测量；6.有害、有毒、腐蚀性严重介质压力的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vAlign w:val="center"/>
          </w:tcPr>
          <w:p>
            <w:pPr>
              <w:jc w:val="center"/>
              <w:rPr>
                <w:rFonts w:eastAsia="宋体" w:cs="Times New Roman"/>
                <w:sz w:val="21"/>
                <w:szCs w:val="21"/>
              </w:rPr>
            </w:pPr>
            <w:r>
              <w:rPr>
                <w:rFonts w:eastAsia="宋体" w:cs="Times New Roman"/>
                <w:sz w:val="21"/>
                <w:szCs w:val="21"/>
              </w:rPr>
              <w:t>25</w:t>
            </w:r>
          </w:p>
        </w:tc>
        <w:tc>
          <w:tcPr>
            <w:tcW w:w="705" w:type="pct"/>
            <w:vAlign w:val="center"/>
          </w:tcPr>
          <w:p>
            <w:pPr>
              <w:jc w:val="center"/>
              <w:rPr>
                <w:rFonts w:eastAsia="宋体" w:cs="Times New Roman"/>
                <w:sz w:val="21"/>
                <w:szCs w:val="21"/>
              </w:rPr>
            </w:pPr>
            <w:r>
              <w:rPr>
                <w:rFonts w:eastAsia="宋体" w:cs="Times New Roman"/>
                <w:sz w:val="21"/>
                <w:szCs w:val="21"/>
              </w:rPr>
              <w:t>（33）</w:t>
            </w:r>
          </w:p>
        </w:tc>
        <w:tc>
          <w:tcPr>
            <w:tcW w:w="553" w:type="pct"/>
            <w:vMerge w:val="restart"/>
            <w:vAlign w:val="center"/>
          </w:tcPr>
          <w:p>
            <w:pPr>
              <w:jc w:val="center"/>
              <w:rPr>
                <w:rFonts w:eastAsia="宋体" w:cs="Times New Roman"/>
                <w:sz w:val="21"/>
                <w:szCs w:val="21"/>
              </w:rPr>
            </w:pPr>
            <w:r>
              <w:rPr>
                <w:rFonts w:eastAsia="宋体" w:cs="Times New Roman"/>
                <w:sz w:val="21"/>
                <w:szCs w:val="21"/>
              </w:rPr>
              <w:t>烟尘粉尘测量</w:t>
            </w:r>
          </w:p>
        </w:tc>
        <w:tc>
          <w:tcPr>
            <w:tcW w:w="520" w:type="pct"/>
            <w:vAlign w:val="center"/>
          </w:tcPr>
          <w:p>
            <w:pPr>
              <w:jc w:val="center"/>
              <w:rPr>
                <w:rFonts w:eastAsia="宋体" w:cs="Times New Roman"/>
                <w:sz w:val="21"/>
                <w:szCs w:val="21"/>
              </w:rPr>
            </w:pPr>
            <w:r>
              <w:rPr>
                <w:rFonts w:eastAsia="宋体" w:cs="Times New Roman"/>
                <w:sz w:val="21"/>
                <w:szCs w:val="21"/>
              </w:rPr>
              <w:t>烟尘</w:t>
            </w:r>
          </w:p>
          <w:p>
            <w:pPr>
              <w:jc w:val="center"/>
              <w:rPr>
                <w:rFonts w:eastAsia="宋体" w:cs="Times New Roman"/>
                <w:sz w:val="21"/>
                <w:szCs w:val="21"/>
              </w:rPr>
            </w:pPr>
            <w:r>
              <w:rPr>
                <w:rFonts w:eastAsia="宋体" w:cs="Times New Roman"/>
                <w:sz w:val="21"/>
                <w:szCs w:val="21"/>
              </w:rPr>
              <w:t>采样器</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jc w:val="center"/>
              <w:rPr>
                <w:rFonts w:eastAsia="宋体" w:cs="Times New Roman"/>
                <w:sz w:val="21"/>
                <w:szCs w:val="21"/>
              </w:rPr>
            </w:pPr>
          </w:p>
        </w:tc>
        <w:tc>
          <w:tcPr>
            <w:tcW w:w="705" w:type="pct"/>
            <w:vAlign w:val="center"/>
          </w:tcPr>
          <w:p>
            <w:pPr>
              <w:jc w:val="center"/>
              <w:rPr>
                <w:rFonts w:eastAsia="宋体" w:cs="Times New Roman"/>
                <w:sz w:val="21"/>
                <w:szCs w:val="21"/>
              </w:rPr>
            </w:pPr>
            <w:r>
              <w:rPr>
                <w:rFonts w:eastAsia="宋体" w:cs="Times New Roman"/>
                <w:sz w:val="21"/>
                <w:szCs w:val="21"/>
              </w:rPr>
              <w:t>（34）</w:t>
            </w:r>
          </w:p>
        </w:tc>
        <w:tc>
          <w:tcPr>
            <w:tcW w:w="553" w:type="pct"/>
            <w:vMerge w:val="continue"/>
            <w:vAlign w:val="center"/>
          </w:tcPr>
          <w:p>
            <w:pPr>
              <w:jc w:val="center"/>
              <w:rPr>
                <w:rFonts w:eastAsia="宋体" w:cs="Times New Roman"/>
                <w:sz w:val="21"/>
                <w:szCs w:val="21"/>
              </w:rPr>
            </w:pPr>
          </w:p>
        </w:tc>
        <w:tc>
          <w:tcPr>
            <w:tcW w:w="520" w:type="pct"/>
            <w:vAlign w:val="center"/>
          </w:tcPr>
          <w:p>
            <w:pPr>
              <w:jc w:val="center"/>
              <w:rPr>
                <w:rFonts w:eastAsia="宋体" w:cs="Times New Roman"/>
                <w:sz w:val="21"/>
                <w:szCs w:val="21"/>
              </w:rPr>
            </w:pPr>
            <w:r>
              <w:rPr>
                <w:rFonts w:eastAsia="宋体" w:cs="Times New Roman"/>
                <w:sz w:val="21"/>
                <w:szCs w:val="21"/>
              </w:rPr>
              <w:t>粉尘</w:t>
            </w:r>
          </w:p>
          <w:p>
            <w:pPr>
              <w:jc w:val="center"/>
              <w:rPr>
                <w:rFonts w:eastAsia="宋体" w:cs="Times New Roman"/>
                <w:sz w:val="21"/>
                <w:szCs w:val="21"/>
              </w:rPr>
            </w:pPr>
            <w:r>
              <w:rPr>
                <w:rFonts w:eastAsia="宋体" w:cs="Times New Roman"/>
                <w:sz w:val="21"/>
                <w:szCs w:val="21"/>
              </w:rPr>
              <w:t>采样器</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jc w:val="center"/>
              <w:rPr>
                <w:rFonts w:eastAsia="宋体" w:cs="Times New Roman"/>
                <w:sz w:val="21"/>
                <w:szCs w:val="21"/>
              </w:rPr>
            </w:pPr>
          </w:p>
        </w:tc>
        <w:tc>
          <w:tcPr>
            <w:tcW w:w="705" w:type="pct"/>
            <w:vAlign w:val="center"/>
          </w:tcPr>
          <w:p>
            <w:pPr>
              <w:jc w:val="center"/>
              <w:rPr>
                <w:rFonts w:eastAsia="宋体" w:cs="Times New Roman"/>
                <w:sz w:val="21"/>
                <w:szCs w:val="21"/>
              </w:rPr>
            </w:pPr>
            <w:r>
              <w:rPr>
                <w:rFonts w:eastAsia="宋体" w:cs="Times New Roman"/>
                <w:sz w:val="21"/>
                <w:szCs w:val="21"/>
              </w:rPr>
              <w:t>（35）</w:t>
            </w:r>
          </w:p>
        </w:tc>
        <w:tc>
          <w:tcPr>
            <w:tcW w:w="553" w:type="pct"/>
            <w:vMerge w:val="continue"/>
            <w:vAlign w:val="center"/>
          </w:tcPr>
          <w:p>
            <w:pPr>
              <w:jc w:val="center"/>
              <w:rPr>
                <w:rFonts w:eastAsia="宋体" w:cs="Times New Roman"/>
                <w:sz w:val="21"/>
                <w:szCs w:val="21"/>
              </w:rPr>
            </w:pPr>
          </w:p>
        </w:tc>
        <w:tc>
          <w:tcPr>
            <w:tcW w:w="520" w:type="pct"/>
            <w:vAlign w:val="center"/>
          </w:tcPr>
          <w:p>
            <w:pPr>
              <w:jc w:val="center"/>
              <w:rPr>
                <w:rFonts w:eastAsia="宋体" w:cs="Times New Roman"/>
                <w:sz w:val="21"/>
                <w:szCs w:val="21"/>
              </w:rPr>
            </w:pPr>
            <w:r>
              <w:rPr>
                <w:rFonts w:eastAsia="宋体" w:cs="Times New Roman"/>
                <w:sz w:val="21"/>
                <w:szCs w:val="21"/>
              </w:rPr>
              <w:t>粉尘浓度 测量仪</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vAlign w:val="center"/>
          </w:tcPr>
          <w:p>
            <w:pPr>
              <w:jc w:val="center"/>
              <w:rPr>
                <w:rFonts w:eastAsia="宋体" w:cs="Times New Roman"/>
                <w:sz w:val="21"/>
                <w:szCs w:val="21"/>
              </w:rPr>
            </w:pPr>
            <w:r>
              <w:rPr>
                <w:rFonts w:eastAsia="宋体" w:cs="Times New Roman"/>
                <w:sz w:val="21"/>
                <w:szCs w:val="21"/>
              </w:rPr>
              <w:t>40</w:t>
            </w:r>
          </w:p>
        </w:tc>
        <w:tc>
          <w:tcPr>
            <w:tcW w:w="705" w:type="pct"/>
            <w:vAlign w:val="center"/>
          </w:tcPr>
          <w:p>
            <w:pPr>
              <w:jc w:val="center"/>
              <w:rPr>
                <w:rFonts w:eastAsia="宋体" w:cs="Times New Roman"/>
                <w:sz w:val="21"/>
                <w:szCs w:val="21"/>
              </w:rPr>
            </w:pPr>
            <w:r>
              <w:rPr>
                <w:rFonts w:eastAsia="宋体" w:cs="Times New Roman"/>
                <w:sz w:val="21"/>
                <w:szCs w:val="21"/>
              </w:rPr>
              <w:t>（56）</w:t>
            </w:r>
          </w:p>
        </w:tc>
        <w:tc>
          <w:tcPr>
            <w:tcW w:w="553" w:type="pct"/>
            <w:vMerge w:val="restart"/>
            <w:vAlign w:val="center"/>
          </w:tcPr>
          <w:p>
            <w:pPr>
              <w:jc w:val="center"/>
              <w:rPr>
                <w:rFonts w:eastAsia="宋体" w:cs="Times New Roman"/>
                <w:sz w:val="21"/>
                <w:szCs w:val="21"/>
              </w:rPr>
            </w:pPr>
            <w:r>
              <w:rPr>
                <w:rFonts w:eastAsia="宋体" w:cs="Times New Roman"/>
                <w:sz w:val="21"/>
                <w:szCs w:val="21"/>
              </w:rPr>
              <w:t>有毒有害、易燃易爆气体检测（报警）仪</w:t>
            </w:r>
          </w:p>
        </w:tc>
        <w:tc>
          <w:tcPr>
            <w:tcW w:w="520" w:type="pct"/>
            <w:vAlign w:val="center"/>
          </w:tcPr>
          <w:p>
            <w:pPr>
              <w:jc w:val="center"/>
              <w:rPr>
                <w:rFonts w:eastAsia="宋体" w:cs="Times New Roman"/>
                <w:sz w:val="21"/>
                <w:szCs w:val="21"/>
              </w:rPr>
            </w:pPr>
            <w:r>
              <w:rPr>
                <w:rFonts w:eastAsia="宋体" w:cs="Times New Roman"/>
                <w:sz w:val="21"/>
                <w:szCs w:val="21"/>
              </w:rPr>
              <w:t>二氧化硫</w:t>
            </w:r>
          </w:p>
          <w:p>
            <w:pPr>
              <w:jc w:val="center"/>
              <w:rPr>
                <w:rFonts w:eastAsia="宋体" w:cs="Times New Roman"/>
                <w:sz w:val="21"/>
                <w:szCs w:val="21"/>
              </w:rPr>
            </w:pPr>
            <w:r>
              <w:rPr>
                <w:rFonts w:eastAsia="宋体" w:cs="Times New Roman"/>
                <w:sz w:val="21"/>
                <w:szCs w:val="21"/>
              </w:rPr>
              <w:t>气体检测仪</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0" w:type="auto"/>
            <w:vMerge w:val="continue"/>
            <w:vAlign w:val="center"/>
          </w:tcPr>
          <w:p>
            <w:pPr>
              <w:jc w:val="center"/>
              <w:rPr>
                <w:rFonts w:eastAsia="宋体" w:cs="Times New Roman"/>
                <w:sz w:val="21"/>
                <w:szCs w:val="21"/>
              </w:rPr>
            </w:pPr>
          </w:p>
        </w:tc>
        <w:tc>
          <w:tcPr>
            <w:tcW w:w="705" w:type="pct"/>
            <w:vAlign w:val="center"/>
          </w:tcPr>
          <w:p>
            <w:pPr>
              <w:jc w:val="center"/>
              <w:rPr>
                <w:rFonts w:eastAsia="宋体" w:cs="Times New Roman"/>
                <w:sz w:val="21"/>
                <w:szCs w:val="21"/>
              </w:rPr>
            </w:pPr>
            <w:r>
              <w:rPr>
                <w:rFonts w:eastAsia="宋体" w:cs="Times New Roman"/>
                <w:sz w:val="21"/>
                <w:szCs w:val="21"/>
              </w:rPr>
              <w:t>（57）</w:t>
            </w:r>
          </w:p>
        </w:tc>
        <w:tc>
          <w:tcPr>
            <w:tcW w:w="553" w:type="pct"/>
            <w:vMerge w:val="continue"/>
            <w:vAlign w:val="center"/>
          </w:tcPr>
          <w:p>
            <w:pPr>
              <w:jc w:val="center"/>
              <w:rPr>
                <w:rFonts w:eastAsia="宋体" w:cs="Times New Roman"/>
                <w:sz w:val="21"/>
                <w:szCs w:val="21"/>
              </w:rPr>
            </w:pPr>
          </w:p>
        </w:tc>
        <w:tc>
          <w:tcPr>
            <w:tcW w:w="520" w:type="pct"/>
            <w:vAlign w:val="center"/>
          </w:tcPr>
          <w:p>
            <w:pPr>
              <w:jc w:val="center"/>
              <w:rPr>
                <w:rFonts w:eastAsia="宋体" w:cs="Times New Roman"/>
                <w:sz w:val="21"/>
                <w:szCs w:val="21"/>
              </w:rPr>
            </w:pPr>
            <w:r>
              <w:rPr>
                <w:rFonts w:eastAsia="宋体" w:cs="Times New Roman"/>
                <w:sz w:val="21"/>
                <w:szCs w:val="21"/>
              </w:rPr>
              <w:t>硫化氢气</w:t>
            </w:r>
          </w:p>
          <w:p>
            <w:pPr>
              <w:jc w:val="center"/>
              <w:rPr>
                <w:rFonts w:eastAsia="宋体" w:cs="Times New Roman"/>
                <w:sz w:val="21"/>
                <w:szCs w:val="21"/>
              </w:rPr>
            </w:pPr>
            <w:r>
              <w:rPr>
                <w:rFonts w:eastAsia="宋体" w:cs="Times New Roman"/>
                <w:sz w:val="21"/>
                <w:szCs w:val="21"/>
              </w:rPr>
              <w:t>体分析仪</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jc w:val="center"/>
              <w:rPr>
                <w:rFonts w:eastAsia="宋体" w:cs="Times New Roman"/>
                <w:sz w:val="21"/>
                <w:szCs w:val="21"/>
              </w:rPr>
            </w:pPr>
          </w:p>
        </w:tc>
        <w:tc>
          <w:tcPr>
            <w:tcW w:w="705" w:type="pct"/>
            <w:vAlign w:val="center"/>
          </w:tcPr>
          <w:p>
            <w:pPr>
              <w:jc w:val="center"/>
              <w:rPr>
                <w:rFonts w:eastAsia="宋体" w:cs="Times New Roman"/>
                <w:sz w:val="21"/>
                <w:szCs w:val="21"/>
              </w:rPr>
            </w:pPr>
            <w:r>
              <w:rPr>
                <w:rFonts w:eastAsia="宋体" w:cs="Times New Roman"/>
                <w:sz w:val="21"/>
                <w:szCs w:val="21"/>
              </w:rPr>
              <w:t>（58）</w:t>
            </w:r>
          </w:p>
        </w:tc>
        <w:tc>
          <w:tcPr>
            <w:tcW w:w="553" w:type="pct"/>
            <w:vMerge w:val="continue"/>
            <w:vAlign w:val="center"/>
          </w:tcPr>
          <w:p>
            <w:pPr>
              <w:jc w:val="center"/>
              <w:rPr>
                <w:rFonts w:eastAsia="宋体" w:cs="Times New Roman"/>
                <w:sz w:val="21"/>
                <w:szCs w:val="21"/>
              </w:rPr>
            </w:pPr>
          </w:p>
        </w:tc>
        <w:tc>
          <w:tcPr>
            <w:tcW w:w="520" w:type="pct"/>
            <w:vAlign w:val="center"/>
          </w:tcPr>
          <w:p>
            <w:pPr>
              <w:jc w:val="center"/>
              <w:rPr>
                <w:rFonts w:eastAsia="宋体" w:cs="Times New Roman"/>
                <w:sz w:val="21"/>
                <w:szCs w:val="21"/>
              </w:rPr>
            </w:pPr>
            <w:r>
              <w:rPr>
                <w:rFonts w:eastAsia="宋体" w:cs="Times New Roman"/>
                <w:sz w:val="21"/>
                <w:szCs w:val="21"/>
              </w:rPr>
              <w:t>一氧化碳</w:t>
            </w:r>
          </w:p>
          <w:p>
            <w:pPr>
              <w:jc w:val="center"/>
              <w:rPr>
                <w:rFonts w:eastAsia="宋体" w:cs="Times New Roman"/>
                <w:sz w:val="21"/>
                <w:szCs w:val="21"/>
              </w:rPr>
            </w:pPr>
            <w:r>
              <w:rPr>
                <w:rFonts w:eastAsia="宋体" w:cs="Times New Roman"/>
                <w:sz w:val="21"/>
                <w:szCs w:val="21"/>
              </w:rPr>
              <w:t>检测报警器</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jc w:val="center"/>
              <w:rPr>
                <w:rFonts w:eastAsia="宋体" w:cs="Times New Roman"/>
                <w:sz w:val="21"/>
                <w:szCs w:val="21"/>
              </w:rPr>
            </w:pPr>
          </w:p>
        </w:tc>
        <w:tc>
          <w:tcPr>
            <w:tcW w:w="705" w:type="pct"/>
            <w:vAlign w:val="center"/>
          </w:tcPr>
          <w:p>
            <w:pPr>
              <w:jc w:val="center"/>
              <w:rPr>
                <w:rFonts w:eastAsia="宋体" w:cs="Times New Roman"/>
                <w:sz w:val="21"/>
                <w:szCs w:val="21"/>
              </w:rPr>
            </w:pPr>
            <w:r>
              <w:rPr>
                <w:rFonts w:eastAsia="宋体" w:cs="Times New Roman"/>
                <w:sz w:val="21"/>
                <w:szCs w:val="21"/>
              </w:rPr>
              <w:t>（59）</w:t>
            </w:r>
          </w:p>
        </w:tc>
        <w:tc>
          <w:tcPr>
            <w:tcW w:w="553" w:type="pct"/>
            <w:vMerge w:val="continue"/>
            <w:vAlign w:val="center"/>
          </w:tcPr>
          <w:p>
            <w:pPr>
              <w:jc w:val="center"/>
              <w:rPr>
                <w:rFonts w:eastAsia="宋体" w:cs="Times New Roman"/>
                <w:sz w:val="21"/>
                <w:szCs w:val="21"/>
              </w:rPr>
            </w:pPr>
          </w:p>
        </w:tc>
        <w:tc>
          <w:tcPr>
            <w:tcW w:w="520" w:type="pct"/>
            <w:vAlign w:val="center"/>
          </w:tcPr>
          <w:p>
            <w:pPr>
              <w:jc w:val="center"/>
              <w:rPr>
                <w:rFonts w:eastAsia="宋体" w:cs="Times New Roman"/>
                <w:sz w:val="21"/>
                <w:szCs w:val="21"/>
              </w:rPr>
            </w:pPr>
            <w:r>
              <w:rPr>
                <w:rFonts w:eastAsia="宋体" w:cs="Times New Roman"/>
                <w:sz w:val="21"/>
                <w:szCs w:val="21"/>
              </w:rPr>
              <w:t>一氧化碳</w:t>
            </w:r>
          </w:p>
          <w:p>
            <w:pPr>
              <w:jc w:val="center"/>
              <w:rPr>
                <w:rFonts w:eastAsia="宋体" w:cs="Times New Roman"/>
                <w:sz w:val="21"/>
                <w:szCs w:val="21"/>
              </w:rPr>
            </w:pPr>
            <w:r>
              <w:rPr>
                <w:rFonts w:eastAsia="宋体" w:cs="Times New Roman"/>
                <w:sz w:val="21"/>
                <w:szCs w:val="21"/>
              </w:rPr>
              <w:t>二氧化碳</w:t>
            </w:r>
          </w:p>
          <w:p>
            <w:pPr>
              <w:jc w:val="center"/>
              <w:rPr>
                <w:rFonts w:eastAsia="宋体" w:cs="Times New Roman"/>
                <w:sz w:val="21"/>
                <w:szCs w:val="21"/>
              </w:rPr>
            </w:pPr>
            <w:r>
              <w:rPr>
                <w:rFonts w:eastAsia="宋体" w:cs="Times New Roman"/>
                <w:sz w:val="21"/>
                <w:szCs w:val="21"/>
              </w:rPr>
              <w:t>红外线气</w:t>
            </w:r>
          </w:p>
          <w:p>
            <w:pPr>
              <w:jc w:val="center"/>
              <w:rPr>
                <w:rFonts w:eastAsia="宋体" w:cs="Times New Roman"/>
                <w:sz w:val="21"/>
                <w:szCs w:val="21"/>
              </w:rPr>
            </w:pPr>
            <w:r>
              <w:rPr>
                <w:rFonts w:eastAsia="宋体" w:cs="Times New Roman"/>
                <w:sz w:val="21"/>
                <w:szCs w:val="21"/>
              </w:rPr>
              <w:t>体分析器</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jc w:val="center"/>
              <w:rPr>
                <w:rFonts w:eastAsia="宋体" w:cs="Times New Roman"/>
                <w:sz w:val="21"/>
                <w:szCs w:val="21"/>
              </w:rPr>
            </w:pPr>
          </w:p>
        </w:tc>
        <w:tc>
          <w:tcPr>
            <w:tcW w:w="705" w:type="pct"/>
            <w:vAlign w:val="center"/>
          </w:tcPr>
          <w:p>
            <w:pPr>
              <w:jc w:val="center"/>
              <w:rPr>
                <w:rFonts w:eastAsia="宋体" w:cs="Times New Roman"/>
                <w:sz w:val="21"/>
                <w:szCs w:val="21"/>
              </w:rPr>
            </w:pPr>
            <w:r>
              <w:rPr>
                <w:rFonts w:eastAsia="宋体" w:cs="Times New Roman"/>
                <w:sz w:val="21"/>
                <w:szCs w:val="21"/>
              </w:rPr>
              <w:t>（60）</w:t>
            </w:r>
          </w:p>
        </w:tc>
        <w:tc>
          <w:tcPr>
            <w:tcW w:w="553" w:type="pct"/>
            <w:vMerge w:val="continue"/>
            <w:vAlign w:val="center"/>
          </w:tcPr>
          <w:p>
            <w:pPr>
              <w:jc w:val="center"/>
              <w:rPr>
                <w:rFonts w:eastAsia="宋体" w:cs="Times New Roman"/>
                <w:sz w:val="21"/>
                <w:szCs w:val="21"/>
              </w:rPr>
            </w:pPr>
          </w:p>
        </w:tc>
        <w:tc>
          <w:tcPr>
            <w:tcW w:w="520" w:type="pct"/>
            <w:vAlign w:val="center"/>
          </w:tcPr>
          <w:p>
            <w:pPr>
              <w:jc w:val="center"/>
              <w:rPr>
                <w:rFonts w:eastAsia="宋体" w:cs="Times New Roman"/>
                <w:sz w:val="21"/>
                <w:szCs w:val="21"/>
              </w:rPr>
            </w:pPr>
            <w:r>
              <w:rPr>
                <w:rFonts w:eastAsia="宋体" w:cs="Times New Roman"/>
                <w:sz w:val="21"/>
                <w:szCs w:val="21"/>
              </w:rPr>
              <w:t>烟气</w:t>
            </w:r>
          </w:p>
          <w:p>
            <w:pPr>
              <w:jc w:val="center"/>
              <w:rPr>
                <w:rFonts w:eastAsia="宋体" w:cs="Times New Roman"/>
                <w:sz w:val="21"/>
                <w:szCs w:val="21"/>
              </w:rPr>
            </w:pPr>
            <w:r>
              <w:rPr>
                <w:rFonts w:eastAsia="宋体" w:cs="Times New Roman"/>
                <w:sz w:val="21"/>
                <w:szCs w:val="21"/>
              </w:rPr>
              <w:t>分析仪</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jc w:val="center"/>
              <w:rPr>
                <w:rFonts w:eastAsia="宋体" w:cs="Times New Roman"/>
                <w:sz w:val="21"/>
                <w:szCs w:val="21"/>
              </w:rPr>
            </w:pPr>
          </w:p>
        </w:tc>
        <w:tc>
          <w:tcPr>
            <w:tcW w:w="705" w:type="pct"/>
            <w:vAlign w:val="center"/>
          </w:tcPr>
          <w:p>
            <w:pPr>
              <w:jc w:val="center"/>
              <w:rPr>
                <w:rFonts w:eastAsia="宋体" w:cs="Times New Roman"/>
                <w:sz w:val="21"/>
                <w:szCs w:val="21"/>
              </w:rPr>
            </w:pPr>
            <w:r>
              <w:rPr>
                <w:rFonts w:eastAsia="宋体" w:cs="Times New Roman"/>
                <w:sz w:val="21"/>
                <w:szCs w:val="21"/>
              </w:rPr>
              <w:t>（61）</w:t>
            </w:r>
          </w:p>
        </w:tc>
        <w:tc>
          <w:tcPr>
            <w:tcW w:w="553" w:type="pct"/>
            <w:vMerge w:val="continue"/>
            <w:vAlign w:val="center"/>
          </w:tcPr>
          <w:p>
            <w:pPr>
              <w:jc w:val="center"/>
              <w:rPr>
                <w:rFonts w:eastAsia="宋体" w:cs="Times New Roman"/>
                <w:sz w:val="21"/>
                <w:szCs w:val="21"/>
              </w:rPr>
            </w:pPr>
          </w:p>
        </w:tc>
        <w:tc>
          <w:tcPr>
            <w:tcW w:w="520" w:type="pct"/>
            <w:vAlign w:val="center"/>
          </w:tcPr>
          <w:p>
            <w:pPr>
              <w:jc w:val="center"/>
              <w:rPr>
                <w:rFonts w:eastAsia="宋体" w:cs="Times New Roman"/>
                <w:sz w:val="21"/>
                <w:szCs w:val="21"/>
              </w:rPr>
            </w:pPr>
            <w:r>
              <w:rPr>
                <w:rFonts w:eastAsia="宋体" w:cs="Times New Roman"/>
                <w:sz w:val="21"/>
                <w:szCs w:val="21"/>
              </w:rPr>
              <w:t>化学发光</w:t>
            </w:r>
          </w:p>
          <w:p>
            <w:pPr>
              <w:jc w:val="center"/>
              <w:rPr>
                <w:rFonts w:eastAsia="宋体" w:cs="Times New Roman"/>
                <w:sz w:val="21"/>
                <w:szCs w:val="21"/>
              </w:rPr>
            </w:pPr>
            <w:r>
              <w:rPr>
                <w:rFonts w:eastAsia="宋体" w:cs="Times New Roman"/>
                <w:sz w:val="21"/>
                <w:szCs w:val="21"/>
              </w:rPr>
              <w:t>法氮氧化</w:t>
            </w:r>
          </w:p>
          <w:p>
            <w:pPr>
              <w:jc w:val="center"/>
              <w:rPr>
                <w:rFonts w:eastAsia="宋体" w:cs="Times New Roman"/>
                <w:sz w:val="21"/>
                <w:szCs w:val="21"/>
              </w:rPr>
            </w:pPr>
            <w:r>
              <w:rPr>
                <w:rFonts w:eastAsia="宋体" w:cs="Times New Roman"/>
                <w:sz w:val="21"/>
                <w:szCs w:val="21"/>
              </w:rPr>
              <w:t>物分析仪</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jc w:val="center"/>
              <w:rPr>
                <w:rFonts w:eastAsia="宋体" w:cs="Times New Roman"/>
                <w:sz w:val="21"/>
                <w:szCs w:val="21"/>
              </w:rPr>
            </w:pPr>
          </w:p>
        </w:tc>
        <w:tc>
          <w:tcPr>
            <w:tcW w:w="705" w:type="pct"/>
            <w:vAlign w:val="center"/>
          </w:tcPr>
          <w:p>
            <w:pPr>
              <w:jc w:val="center"/>
              <w:rPr>
                <w:rFonts w:eastAsia="宋体" w:cs="Times New Roman"/>
                <w:sz w:val="21"/>
                <w:szCs w:val="21"/>
              </w:rPr>
            </w:pPr>
            <w:r>
              <w:rPr>
                <w:rFonts w:eastAsia="宋体" w:cs="Times New Roman"/>
                <w:sz w:val="21"/>
                <w:szCs w:val="21"/>
              </w:rPr>
              <w:t>（62）</w:t>
            </w:r>
          </w:p>
        </w:tc>
        <w:tc>
          <w:tcPr>
            <w:tcW w:w="553" w:type="pct"/>
            <w:vMerge w:val="continue"/>
            <w:vAlign w:val="center"/>
          </w:tcPr>
          <w:p>
            <w:pPr>
              <w:jc w:val="center"/>
              <w:rPr>
                <w:rFonts w:eastAsia="宋体" w:cs="Times New Roman"/>
                <w:sz w:val="21"/>
                <w:szCs w:val="21"/>
              </w:rPr>
            </w:pPr>
          </w:p>
        </w:tc>
        <w:tc>
          <w:tcPr>
            <w:tcW w:w="520" w:type="pct"/>
            <w:vAlign w:val="center"/>
          </w:tcPr>
          <w:p>
            <w:pPr>
              <w:jc w:val="center"/>
              <w:rPr>
                <w:rFonts w:eastAsia="宋体" w:cs="Times New Roman"/>
                <w:sz w:val="21"/>
                <w:szCs w:val="21"/>
              </w:rPr>
            </w:pPr>
            <w:r>
              <w:rPr>
                <w:rFonts w:eastAsia="宋体" w:cs="Times New Roman"/>
                <w:sz w:val="21"/>
                <w:szCs w:val="21"/>
              </w:rPr>
              <w:t>甲烷</w:t>
            </w:r>
          </w:p>
          <w:p>
            <w:pPr>
              <w:jc w:val="center"/>
              <w:rPr>
                <w:rFonts w:eastAsia="宋体" w:cs="Times New Roman"/>
                <w:sz w:val="21"/>
                <w:szCs w:val="21"/>
              </w:rPr>
            </w:pPr>
            <w:r>
              <w:rPr>
                <w:rFonts w:eastAsia="宋体" w:cs="Times New Roman"/>
                <w:sz w:val="21"/>
                <w:szCs w:val="21"/>
              </w:rPr>
              <w:t>测定器</w:t>
            </w:r>
          </w:p>
        </w:tc>
        <w:tc>
          <w:tcPr>
            <w:tcW w:w="525" w:type="pct"/>
            <w:vAlign w:val="center"/>
          </w:tcPr>
          <w:p>
            <w:pPr>
              <w:jc w:val="center"/>
              <w:rPr>
                <w:rFonts w:eastAsia="宋体" w:cs="Times New Roman"/>
                <w:sz w:val="21"/>
                <w:szCs w:val="21"/>
              </w:rPr>
            </w:pPr>
            <w:r>
              <w:rPr>
                <w:rFonts w:eastAsia="宋体" w:cs="Times New Roman"/>
                <w:sz w:val="21"/>
                <w:szCs w:val="21"/>
              </w:rPr>
              <w:t>型式批准</w:t>
            </w:r>
          </w:p>
        </w:tc>
        <w:tc>
          <w:tcPr>
            <w:tcW w:w="348" w:type="pct"/>
            <w:vAlign w:val="center"/>
          </w:tcPr>
          <w:p>
            <w:pPr>
              <w:jc w:val="center"/>
              <w:rPr>
                <w:rFonts w:eastAsia="宋体" w:cs="Times New Roman"/>
                <w:sz w:val="21"/>
                <w:szCs w:val="21"/>
              </w:rPr>
            </w:pPr>
            <w:r>
              <w:rPr>
                <w:rFonts w:eastAsia="宋体" w:cs="Times New Roman"/>
                <w:sz w:val="21"/>
                <w:szCs w:val="21"/>
              </w:rPr>
              <w:t>——</w:t>
            </w:r>
          </w:p>
        </w:tc>
        <w:tc>
          <w:tcPr>
            <w:tcW w:w="1989" w:type="pct"/>
            <w:vAlign w:val="center"/>
          </w:tcPr>
          <w:p>
            <w:pPr>
              <w:jc w:val="center"/>
              <w:rPr>
                <w:rFonts w:eastAsia="宋体" w:cs="Times New Roman"/>
                <w:sz w:val="21"/>
                <w:szCs w:val="21"/>
              </w:rPr>
            </w:pPr>
            <w:r>
              <w:rPr>
                <w:rFonts w:eastAsia="宋体" w:cs="Times New Roman"/>
                <w:sz w:val="21"/>
                <w:szCs w:val="21"/>
              </w:rPr>
              <w:t>——</w:t>
            </w:r>
          </w:p>
        </w:tc>
      </w:tr>
    </w:tbl>
    <w:p>
      <w:pPr>
        <w:adjustRightInd w:val="0"/>
        <w:snapToGrid w:val="0"/>
        <w:spacing w:line="360" w:lineRule="auto"/>
        <w:contextualSpacing/>
        <w:rPr>
          <w:rFonts w:eastAsia="宋体" w:cs="Times New Roman"/>
          <w:b/>
          <w:bCs/>
          <w:sz w:val="21"/>
          <w:szCs w:val="21"/>
        </w:rPr>
      </w:pPr>
      <w:r>
        <w:rPr>
          <w:rFonts w:hint="eastAsia" w:eastAsia="宋体" w:cs="Times New Roman"/>
          <w:b/>
          <w:bCs/>
          <w:sz w:val="21"/>
          <w:szCs w:val="21"/>
        </w:rPr>
        <w:t>注：计量器具的检定必须由有资质的检定机构进行</w:t>
      </w:r>
    </w:p>
    <w:p>
      <w:pPr>
        <w:adjustRightInd w:val="0"/>
        <w:snapToGrid w:val="0"/>
        <w:spacing w:line="360" w:lineRule="auto"/>
        <w:contextualSpacing/>
        <w:jc w:val="center"/>
        <w:rPr>
          <w:rFonts w:ascii="宋体" w:hAnsi="宋体" w:eastAsia="宋体" w:cs="Times New Roman"/>
          <w:sz w:val="21"/>
          <w:szCs w:val="21"/>
        </w:rPr>
      </w:pPr>
    </w:p>
    <w:p>
      <w:pPr>
        <w:adjustRightInd w:val="0"/>
        <w:snapToGrid w:val="0"/>
        <w:spacing w:line="360" w:lineRule="auto"/>
        <w:contextualSpacing/>
        <w:jc w:val="center"/>
        <w:rPr>
          <w:rFonts w:ascii="宋体" w:hAnsi="宋体" w:eastAsia="宋体" w:cs="Times New Roman"/>
          <w:sz w:val="21"/>
          <w:szCs w:val="21"/>
        </w:rPr>
      </w:pPr>
      <w:r>
        <w:rPr>
          <w:rFonts w:hint="eastAsia" w:ascii="宋体" w:hAnsi="宋体" w:eastAsia="宋体" w:cs="Times New Roman"/>
          <w:sz w:val="21"/>
          <w:szCs w:val="21"/>
        </w:rPr>
        <w:t>表</w:t>
      </w:r>
      <w:r>
        <w:rPr>
          <w:rFonts w:ascii="宋体" w:hAnsi="宋体" w:eastAsia="宋体" w:cs="Times New Roman"/>
          <w:sz w:val="21"/>
          <w:szCs w:val="21"/>
        </w:rPr>
        <w:t>6.1</w:t>
      </w:r>
      <w:r>
        <w:rPr>
          <w:rFonts w:hint="eastAsia" w:ascii="宋体" w:hAnsi="宋体" w:eastAsia="宋体" w:cs="Times New Roman"/>
          <w:sz w:val="21"/>
          <w:szCs w:val="21"/>
        </w:rPr>
        <w:t>-3</w:t>
      </w:r>
      <w:r>
        <w:rPr>
          <w:rFonts w:ascii="宋体" w:hAnsi="宋体" w:eastAsia="宋体" w:cs="Times New Roman"/>
          <w:sz w:val="21"/>
          <w:szCs w:val="21"/>
        </w:rPr>
        <w:t xml:space="preserve"> </w:t>
      </w:r>
      <w:r>
        <w:rPr>
          <w:rFonts w:hint="eastAsia" w:ascii="宋体" w:hAnsi="宋体" w:eastAsia="宋体" w:cs="Times New Roman"/>
          <w:sz w:val="21"/>
          <w:szCs w:val="21"/>
        </w:rPr>
        <w:t>特种设备目录（部分）</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3544"/>
        <w:gridCol w:w="14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jc w:val="center"/>
              <w:rPr>
                <w:rFonts w:ascii="宋体" w:hAnsi="宋体" w:eastAsia="宋体"/>
                <w:sz w:val="21"/>
                <w:szCs w:val="21"/>
              </w:rPr>
            </w:pPr>
            <w:r>
              <w:rPr>
                <w:rFonts w:hint="eastAsia" w:ascii="宋体" w:hAnsi="宋体" w:eastAsia="宋体"/>
                <w:sz w:val="21"/>
                <w:szCs w:val="21"/>
              </w:rPr>
              <w:t>种类</w:t>
            </w:r>
          </w:p>
        </w:tc>
        <w:tc>
          <w:tcPr>
            <w:tcW w:w="3544" w:type="dxa"/>
            <w:vAlign w:val="center"/>
          </w:tcPr>
          <w:p>
            <w:pPr>
              <w:jc w:val="center"/>
              <w:rPr>
                <w:rFonts w:ascii="宋体" w:hAnsi="宋体" w:eastAsia="宋体"/>
                <w:sz w:val="21"/>
                <w:szCs w:val="21"/>
              </w:rPr>
            </w:pPr>
            <w:r>
              <w:rPr>
                <w:rFonts w:hint="eastAsia" w:ascii="宋体" w:hAnsi="宋体" w:eastAsia="宋体"/>
                <w:sz w:val="21"/>
                <w:szCs w:val="21"/>
              </w:rPr>
              <w:t>类别</w:t>
            </w:r>
          </w:p>
        </w:tc>
        <w:tc>
          <w:tcPr>
            <w:tcW w:w="1440" w:type="dxa"/>
            <w:vAlign w:val="center"/>
          </w:tcPr>
          <w:p>
            <w:pPr>
              <w:jc w:val="center"/>
              <w:rPr>
                <w:rFonts w:ascii="宋体" w:hAnsi="宋体" w:eastAsia="宋体"/>
                <w:sz w:val="21"/>
                <w:szCs w:val="21"/>
              </w:rPr>
            </w:pPr>
            <w:r>
              <w:rPr>
                <w:rFonts w:hint="eastAsia" w:ascii="宋体" w:hAnsi="宋体" w:eastAsia="宋体"/>
                <w:sz w:val="21"/>
                <w:szCs w:val="21"/>
              </w:rPr>
              <w:t>品种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jc w:val="center"/>
              <w:rPr>
                <w:rFonts w:ascii="宋体" w:hAnsi="宋体" w:eastAsia="宋体"/>
                <w:sz w:val="21"/>
                <w:szCs w:val="21"/>
              </w:rPr>
            </w:pPr>
            <w:r>
              <w:rPr>
                <w:rFonts w:hint="eastAsia" w:ascii="宋体" w:hAnsi="宋体" w:eastAsia="宋体"/>
                <w:sz w:val="21"/>
                <w:szCs w:val="21"/>
              </w:rPr>
              <w:t>锅炉</w:t>
            </w:r>
          </w:p>
        </w:tc>
        <w:tc>
          <w:tcPr>
            <w:tcW w:w="3544" w:type="dxa"/>
            <w:vAlign w:val="center"/>
          </w:tcPr>
          <w:p>
            <w:pPr>
              <w:jc w:val="center"/>
              <w:rPr>
                <w:rFonts w:ascii="宋体" w:hAnsi="宋体" w:eastAsia="宋体"/>
                <w:sz w:val="21"/>
                <w:szCs w:val="21"/>
              </w:rPr>
            </w:pPr>
            <w:r>
              <w:rPr>
                <w:rFonts w:hint="eastAsia" w:ascii="宋体" w:hAnsi="宋体" w:eastAsia="宋体"/>
                <w:sz w:val="21"/>
                <w:szCs w:val="21"/>
              </w:rPr>
              <w:t>承压蒸汽锅、承压热水锅炉、有机热载体锅炉</w:t>
            </w:r>
          </w:p>
        </w:tc>
        <w:tc>
          <w:tcPr>
            <w:tcW w:w="1440" w:type="dxa"/>
            <w:vAlign w:val="center"/>
          </w:tcPr>
          <w:p>
            <w:pPr>
              <w:jc w:val="center"/>
              <w:rPr>
                <w:rFonts w:ascii="宋体" w:hAnsi="宋体"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jc w:val="center"/>
              <w:rPr>
                <w:rFonts w:ascii="宋体" w:hAnsi="宋体" w:eastAsia="宋体"/>
                <w:sz w:val="21"/>
                <w:szCs w:val="21"/>
              </w:rPr>
            </w:pPr>
            <w:r>
              <w:rPr>
                <w:rFonts w:hint="eastAsia" w:ascii="宋体" w:hAnsi="宋体" w:eastAsia="宋体"/>
                <w:sz w:val="21"/>
                <w:szCs w:val="21"/>
              </w:rPr>
              <w:t>压力容器</w:t>
            </w:r>
          </w:p>
        </w:tc>
        <w:tc>
          <w:tcPr>
            <w:tcW w:w="3544" w:type="dxa"/>
            <w:vAlign w:val="center"/>
          </w:tcPr>
          <w:p>
            <w:pPr>
              <w:jc w:val="center"/>
              <w:rPr>
                <w:rFonts w:ascii="宋体" w:hAnsi="宋体" w:eastAsia="宋体"/>
                <w:sz w:val="21"/>
                <w:szCs w:val="21"/>
              </w:rPr>
            </w:pPr>
            <w:r>
              <w:rPr>
                <w:rFonts w:hint="eastAsia" w:ascii="宋体" w:hAnsi="宋体" w:eastAsia="宋体"/>
                <w:sz w:val="21"/>
                <w:szCs w:val="21"/>
              </w:rPr>
              <w:t>固定式压力容器、移动式压力容器、气瓶、氧舱</w:t>
            </w:r>
          </w:p>
        </w:tc>
        <w:tc>
          <w:tcPr>
            <w:tcW w:w="1440" w:type="dxa"/>
            <w:vAlign w:val="center"/>
          </w:tcPr>
          <w:p>
            <w:pPr>
              <w:jc w:val="center"/>
              <w:rPr>
                <w:rFonts w:ascii="宋体" w:hAnsi="宋体"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jc w:val="center"/>
              <w:rPr>
                <w:rFonts w:ascii="宋体" w:hAnsi="宋体" w:eastAsia="宋体"/>
                <w:sz w:val="21"/>
                <w:szCs w:val="21"/>
              </w:rPr>
            </w:pPr>
            <w:r>
              <w:rPr>
                <w:rFonts w:hint="eastAsia" w:ascii="宋体" w:hAnsi="宋体" w:eastAsia="宋体"/>
                <w:sz w:val="21"/>
                <w:szCs w:val="21"/>
              </w:rPr>
              <w:t>压力管</w:t>
            </w:r>
          </w:p>
        </w:tc>
        <w:tc>
          <w:tcPr>
            <w:tcW w:w="3544" w:type="dxa"/>
            <w:vAlign w:val="center"/>
          </w:tcPr>
          <w:p>
            <w:pPr>
              <w:jc w:val="center"/>
              <w:rPr>
                <w:rFonts w:ascii="宋体" w:hAnsi="宋体" w:eastAsia="宋体"/>
                <w:sz w:val="21"/>
                <w:szCs w:val="21"/>
              </w:rPr>
            </w:pPr>
            <w:r>
              <w:rPr>
                <w:rFonts w:hint="eastAsia" w:ascii="宋体" w:hAnsi="宋体" w:eastAsia="宋体"/>
                <w:sz w:val="21"/>
                <w:szCs w:val="21"/>
              </w:rPr>
              <w:t>长输管道、公用管道、工业管道</w:t>
            </w:r>
          </w:p>
        </w:tc>
        <w:tc>
          <w:tcPr>
            <w:tcW w:w="1440" w:type="dxa"/>
            <w:vAlign w:val="center"/>
          </w:tcPr>
          <w:p>
            <w:pPr>
              <w:jc w:val="center"/>
              <w:rPr>
                <w:rFonts w:ascii="宋体" w:hAnsi="宋体"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jc w:val="center"/>
              <w:rPr>
                <w:rFonts w:ascii="宋体" w:hAnsi="宋体" w:eastAsia="宋体"/>
                <w:sz w:val="21"/>
                <w:szCs w:val="21"/>
              </w:rPr>
            </w:pPr>
            <w:r>
              <w:rPr>
                <w:rFonts w:hint="eastAsia" w:ascii="宋体" w:hAnsi="宋体" w:eastAsia="宋体"/>
                <w:sz w:val="21"/>
                <w:szCs w:val="21"/>
              </w:rPr>
              <w:t>压力管道元件</w:t>
            </w:r>
          </w:p>
        </w:tc>
        <w:tc>
          <w:tcPr>
            <w:tcW w:w="3544" w:type="dxa"/>
            <w:vAlign w:val="center"/>
          </w:tcPr>
          <w:p>
            <w:pPr>
              <w:jc w:val="center"/>
              <w:rPr>
                <w:rFonts w:ascii="宋体" w:hAnsi="宋体" w:eastAsia="宋体"/>
                <w:sz w:val="21"/>
                <w:szCs w:val="21"/>
              </w:rPr>
            </w:pPr>
            <w:r>
              <w:rPr>
                <w:rFonts w:hint="eastAsia" w:ascii="宋体" w:hAnsi="宋体" w:eastAsia="宋体"/>
                <w:sz w:val="21"/>
                <w:szCs w:val="21"/>
              </w:rPr>
              <w:t>压力管道管子、压力管道管件、压力管道阀门、压力管道法兰、补偿器、压力管道密封元件、压力管道特种元件</w:t>
            </w:r>
          </w:p>
        </w:tc>
        <w:tc>
          <w:tcPr>
            <w:tcW w:w="1440" w:type="dxa"/>
            <w:vAlign w:val="center"/>
          </w:tcPr>
          <w:p>
            <w:pPr>
              <w:jc w:val="center"/>
              <w:rPr>
                <w:rFonts w:ascii="宋体" w:hAnsi="宋体"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jc w:val="center"/>
              <w:rPr>
                <w:rFonts w:ascii="宋体" w:hAnsi="宋体" w:eastAsia="宋体"/>
                <w:sz w:val="21"/>
                <w:szCs w:val="21"/>
              </w:rPr>
            </w:pPr>
            <w:r>
              <w:rPr>
                <w:rFonts w:hint="eastAsia" w:ascii="宋体" w:hAnsi="宋体" w:eastAsia="宋体"/>
                <w:sz w:val="21"/>
                <w:szCs w:val="21"/>
              </w:rPr>
              <w:t>电梯</w:t>
            </w:r>
          </w:p>
        </w:tc>
        <w:tc>
          <w:tcPr>
            <w:tcW w:w="3544" w:type="dxa"/>
            <w:vAlign w:val="center"/>
          </w:tcPr>
          <w:p>
            <w:pPr>
              <w:jc w:val="center"/>
              <w:rPr>
                <w:rFonts w:ascii="宋体" w:hAnsi="宋体" w:eastAsia="宋体"/>
                <w:sz w:val="21"/>
                <w:szCs w:val="21"/>
              </w:rPr>
            </w:pPr>
            <w:r>
              <w:rPr>
                <w:rFonts w:hint="eastAsia" w:ascii="宋体" w:hAnsi="宋体" w:eastAsia="宋体"/>
                <w:sz w:val="21"/>
                <w:szCs w:val="21"/>
              </w:rPr>
              <w:t>曳引与强制驱动电梯、液压驱动电梯、自动扶梯与自动人行道、其它类型电梯</w:t>
            </w:r>
          </w:p>
        </w:tc>
        <w:tc>
          <w:tcPr>
            <w:tcW w:w="1440" w:type="dxa"/>
            <w:vAlign w:val="center"/>
          </w:tcPr>
          <w:p>
            <w:pPr>
              <w:jc w:val="center"/>
              <w:rPr>
                <w:rFonts w:ascii="宋体" w:hAnsi="宋体"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jc w:val="center"/>
              <w:rPr>
                <w:rFonts w:ascii="宋体" w:hAnsi="宋体" w:eastAsia="宋体"/>
                <w:sz w:val="21"/>
                <w:szCs w:val="21"/>
              </w:rPr>
            </w:pPr>
            <w:r>
              <w:rPr>
                <w:rFonts w:hint="eastAsia" w:ascii="宋体" w:hAnsi="宋体" w:eastAsia="宋体"/>
                <w:sz w:val="21"/>
                <w:szCs w:val="21"/>
              </w:rPr>
              <w:t>起重机械</w:t>
            </w:r>
          </w:p>
        </w:tc>
        <w:tc>
          <w:tcPr>
            <w:tcW w:w="3544" w:type="dxa"/>
            <w:vAlign w:val="center"/>
          </w:tcPr>
          <w:p>
            <w:pPr>
              <w:jc w:val="center"/>
              <w:rPr>
                <w:rFonts w:ascii="宋体" w:hAnsi="宋体" w:eastAsia="宋体"/>
                <w:sz w:val="21"/>
                <w:szCs w:val="21"/>
              </w:rPr>
            </w:pPr>
            <w:r>
              <w:rPr>
                <w:rFonts w:hint="eastAsia" w:ascii="宋体" w:hAnsi="宋体" w:eastAsia="宋体"/>
                <w:sz w:val="21"/>
                <w:szCs w:val="21"/>
              </w:rPr>
              <w:t>桥式起重机、门式起重机、塔式起重机、流动式起重机、门座式起重机、升降机</w:t>
            </w:r>
          </w:p>
        </w:tc>
        <w:tc>
          <w:tcPr>
            <w:tcW w:w="1440" w:type="dxa"/>
            <w:vAlign w:val="center"/>
          </w:tcPr>
          <w:p>
            <w:pPr>
              <w:jc w:val="center"/>
              <w:rPr>
                <w:rFonts w:ascii="宋体" w:hAnsi="宋体"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jc w:val="center"/>
              <w:rPr>
                <w:rFonts w:ascii="宋体" w:hAnsi="宋体" w:eastAsia="宋体"/>
                <w:sz w:val="21"/>
                <w:szCs w:val="21"/>
              </w:rPr>
            </w:pPr>
            <w:r>
              <w:rPr>
                <w:rFonts w:hint="eastAsia" w:ascii="宋体" w:hAnsi="宋体" w:eastAsia="宋体"/>
                <w:sz w:val="21"/>
                <w:szCs w:val="21"/>
              </w:rPr>
              <w:t>场（厂）内专用机动车辆</w:t>
            </w:r>
          </w:p>
        </w:tc>
        <w:tc>
          <w:tcPr>
            <w:tcW w:w="3544" w:type="dxa"/>
            <w:vAlign w:val="center"/>
          </w:tcPr>
          <w:p>
            <w:pPr>
              <w:jc w:val="center"/>
              <w:rPr>
                <w:rFonts w:ascii="宋体" w:hAnsi="宋体" w:eastAsia="宋体"/>
                <w:sz w:val="21"/>
                <w:szCs w:val="21"/>
              </w:rPr>
            </w:pPr>
            <w:r>
              <w:rPr>
                <w:rFonts w:hint="eastAsia" w:ascii="宋体" w:hAnsi="宋体" w:eastAsia="宋体"/>
                <w:sz w:val="21"/>
                <w:szCs w:val="21"/>
              </w:rPr>
              <w:t>机动工业车辆、非公路用旅游观光车辆</w:t>
            </w:r>
          </w:p>
        </w:tc>
        <w:tc>
          <w:tcPr>
            <w:tcW w:w="1440" w:type="dxa"/>
            <w:vAlign w:val="center"/>
          </w:tcPr>
          <w:p>
            <w:pPr>
              <w:jc w:val="center"/>
              <w:rPr>
                <w:rFonts w:ascii="宋体" w:hAnsi="宋体"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jc w:val="center"/>
              <w:rPr>
                <w:rFonts w:ascii="宋体" w:hAnsi="宋体" w:eastAsia="宋体"/>
                <w:sz w:val="21"/>
                <w:szCs w:val="21"/>
              </w:rPr>
            </w:pPr>
            <w:r>
              <w:rPr>
                <w:rFonts w:hint="eastAsia" w:ascii="宋体" w:hAnsi="宋体" w:eastAsia="宋体"/>
                <w:sz w:val="21"/>
                <w:szCs w:val="21"/>
              </w:rPr>
              <w:t>安全附件</w:t>
            </w:r>
          </w:p>
        </w:tc>
        <w:tc>
          <w:tcPr>
            <w:tcW w:w="3544" w:type="dxa"/>
            <w:vAlign w:val="center"/>
          </w:tcPr>
          <w:p>
            <w:pPr>
              <w:jc w:val="center"/>
              <w:rPr>
                <w:rFonts w:ascii="宋体" w:hAnsi="宋体" w:eastAsia="宋体"/>
                <w:sz w:val="21"/>
                <w:szCs w:val="21"/>
              </w:rPr>
            </w:pPr>
          </w:p>
        </w:tc>
        <w:tc>
          <w:tcPr>
            <w:tcW w:w="1440" w:type="dxa"/>
            <w:vAlign w:val="center"/>
          </w:tcPr>
          <w:p>
            <w:pPr>
              <w:jc w:val="center"/>
              <w:rPr>
                <w:rFonts w:ascii="宋体" w:hAnsi="宋体" w:eastAsia="宋体"/>
                <w:sz w:val="21"/>
                <w:szCs w:val="21"/>
              </w:rPr>
            </w:pPr>
            <w:r>
              <w:rPr>
                <w:rFonts w:hint="eastAsia" w:ascii="宋体" w:hAnsi="宋体" w:eastAsia="宋体"/>
                <w:sz w:val="21"/>
                <w:szCs w:val="21"/>
              </w:rPr>
              <w:t>安全阀、爆破片装置、紧急切断阀、气瓶阀门</w:t>
            </w:r>
          </w:p>
        </w:tc>
      </w:tr>
    </w:tbl>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17.不同介质的管线，应按照《工业管道的基本识别色、识别符号和安全标识》（GB7231）的规定注明介质名称和流向。</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具体要求：</w:t>
      </w:r>
      <w:r>
        <w:rPr>
          <w:rFonts w:hint="eastAsia" w:cs="Times New Roman" w:eastAsiaTheme="minorEastAsia"/>
          <w:sz w:val="24"/>
        </w:rPr>
        <w:t>见第十四章表14.3-</w:t>
      </w:r>
      <w:r>
        <w:rPr>
          <w:rFonts w:cs="Times New Roman" w:eastAsiaTheme="minorEastAsia"/>
          <w:sz w:val="24"/>
        </w:rPr>
        <w:t>2</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18.起重机应标明起重吨位，并应设有下列安全装置：限位器；缓冲器；防碰撞装置；超载限制器；连锁保护装置；轨道端部止挡；定位装置；其他零位保护、安全钩、扫轨板、电气安全装置等；走台栏杆、防护罩、滑线防护板、防雨罩（露天）等防护装置；大型起重机械安全监控管理系统、安全信息提示和报警装置；滑线指示灯、通电指示灯、桥下和驾驶室照明灯等。</w:t>
      </w:r>
    </w:p>
    <w:p>
      <w:pPr>
        <w:adjustRightInd w:val="0"/>
        <w:snapToGrid w:val="0"/>
        <w:spacing w:line="360" w:lineRule="auto"/>
        <w:ind w:firstLine="480" w:firstLineChars="200"/>
        <w:contextualSpacing/>
        <w:jc w:val="left"/>
        <w:rPr>
          <w:rFonts w:eastAsia="宋体" w:cs="Times New Roman"/>
          <w:sz w:val="24"/>
          <w:szCs w:val="18"/>
        </w:rPr>
      </w:pPr>
      <w:r>
        <w:rPr>
          <w:rFonts w:hint="eastAsia" w:eastAsia="宋体" w:cs="Times New Roman"/>
          <w:sz w:val="24"/>
          <w:szCs w:val="18"/>
        </w:rPr>
        <w:t>释义：</w:t>
      </w:r>
    </w:p>
    <w:p>
      <w:pPr>
        <w:adjustRightInd w:val="0"/>
        <w:snapToGrid w:val="0"/>
        <w:spacing w:line="360" w:lineRule="auto"/>
        <w:contextualSpacing/>
        <w:jc w:val="left"/>
        <w:rPr>
          <w:rFonts w:eastAsia="宋体" w:cs="Times New Roman"/>
          <w:sz w:val="24"/>
        </w:rPr>
      </w:pPr>
      <w:r>
        <w:rPr>
          <w:rFonts w:cs="Times New Roman"/>
        </w:rPr>
        <w:drawing>
          <wp:inline distT="0" distB="0" distL="0" distR="0">
            <wp:extent cx="2159000" cy="1363980"/>
            <wp:effectExtent l="0" t="0" r="0" b="7620"/>
            <wp:docPr id="28704" name="图片 2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4" name="图片 28704"/>
                    <pic:cNvPicPr>
                      <a:picLocks noChangeAspect="1"/>
                    </pic:cNvPicPr>
                  </pic:nvPicPr>
                  <pic:blipFill>
                    <a:blip r:embed="rId57"/>
                    <a:srcRect b="6549"/>
                    <a:stretch>
                      <a:fillRect/>
                    </a:stretch>
                  </pic:blipFill>
                  <pic:spPr>
                    <a:xfrm>
                      <a:off x="0" y="0"/>
                      <a:ext cx="2160000" cy="1364821"/>
                    </a:xfrm>
                    <a:prstGeom prst="rect">
                      <a:avLst/>
                    </a:prstGeom>
                    <a:ln>
                      <a:noFill/>
                    </a:ln>
                  </pic:spPr>
                </pic:pic>
              </a:graphicData>
            </a:graphic>
          </wp:inline>
        </w:drawing>
      </w:r>
      <w:r>
        <w:rPr>
          <w:rFonts w:eastAsia="宋体" w:cs="Times New Roman"/>
          <w:sz w:val="24"/>
        </w:rPr>
        <w:t xml:space="preserve"> </w:t>
      </w:r>
      <w:r>
        <w:rPr>
          <w:rFonts w:cs="Times New Roman"/>
        </w:rPr>
        <w:drawing>
          <wp:inline distT="0" distB="0" distL="0" distR="0">
            <wp:extent cx="1618615" cy="1373505"/>
            <wp:effectExtent l="0" t="0" r="635" b="0"/>
            <wp:docPr id="28705" name="图片 28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5" name="图片 28705"/>
                    <pic:cNvPicPr>
                      <a:picLocks noChangeAspect="1"/>
                    </pic:cNvPicPr>
                  </pic:nvPicPr>
                  <pic:blipFill>
                    <a:blip r:embed="rId58"/>
                    <a:srcRect b="14202"/>
                    <a:stretch>
                      <a:fillRect/>
                    </a:stretch>
                  </pic:blipFill>
                  <pic:spPr>
                    <a:xfrm>
                      <a:off x="0" y="0"/>
                      <a:ext cx="1620000" cy="1374956"/>
                    </a:xfrm>
                    <a:prstGeom prst="rect">
                      <a:avLst/>
                    </a:prstGeom>
                    <a:ln>
                      <a:noFill/>
                    </a:ln>
                  </pic:spPr>
                </pic:pic>
              </a:graphicData>
            </a:graphic>
          </wp:inline>
        </w:drawing>
      </w:r>
    </w:p>
    <w:p>
      <w:pPr>
        <w:adjustRightInd w:val="0"/>
        <w:snapToGrid w:val="0"/>
        <w:spacing w:line="360" w:lineRule="auto"/>
        <w:ind w:firstLine="420" w:firstLineChars="200"/>
        <w:contextualSpacing/>
        <w:rPr>
          <w:rFonts w:eastAsia="宋体" w:cs="Times New Roman"/>
          <w:sz w:val="21"/>
          <w:szCs w:val="21"/>
        </w:rPr>
      </w:pP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-20</w:t>
      </w:r>
      <w:r>
        <w:rPr>
          <w:rFonts w:eastAsia="宋体" w:cs="Times New Roman"/>
          <w:sz w:val="21"/>
          <w:szCs w:val="21"/>
        </w:rPr>
        <w:t>行车吨位标识</w:t>
      </w:r>
      <w:r>
        <w:rPr>
          <w:rFonts w:hint="eastAsia" w:eastAsia="宋体" w:cs="Times New Roman"/>
          <w:sz w:val="21"/>
          <w:szCs w:val="21"/>
        </w:rPr>
        <w:t>示例</w:t>
      </w:r>
      <w:r>
        <w:rPr>
          <w:rFonts w:eastAsia="宋体" w:cs="Times New Roman"/>
          <w:sz w:val="21"/>
          <w:szCs w:val="21"/>
        </w:rPr>
        <w:t xml:space="preserve">       </w:t>
      </w: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21</w:t>
      </w:r>
      <w:r>
        <w:rPr>
          <w:rFonts w:eastAsia="宋体" w:cs="Times New Roman"/>
          <w:sz w:val="21"/>
          <w:szCs w:val="21"/>
        </w:rPr>
        <w:t xml:space="preserve"> 碰撞缓冲器</w:t>
      </w:r>
      <w:r>
        <w:rPr>
          <w:rFonts w:hint="eastAsia" w:eastAsia="宋体" w:cs="Times New Roman"/>
          <w:sz w:val="21"/>
          <w:szCs w:val="21"/>
        </w:rPr>
        <w:t>示例</w:t>
      </w:r>
    </w:p>
    <w:p>
      <w:pPr>
        <w:adjustRightInd w:val="0"/>
        <w:snapToGrid w:val="0"/>
        <w:spacing w:line="360" w:lineRule="auto"/>
        <w:contextualSpacing/>
        <w:jc w:val="left"/>
        <w:rPr>
          <w:rFonts w:eastAsia="宋体" w:cs="Times New Roman"/>
          <w:sz w:val="24"/>
        </w:rPr>
      </w:pPr>
      <w:r>
        <w:rPr>
          <w:rFonts w:cs="Times New Roman"/>
        </w:rPr>
        <w:drawing>
          <wp:inline distT="0" distB="0" distL="0" distR="0">
            <wp:extent cx="1798320" cy="1388110"/>
            <wp:effectExtent l="0" t="0" r="0" b="2540"/>
            <wp:docPr id="28706" name="图片 2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6" name="图片 28706"/>
                    <pic:cNvPicPr>
                      <a:picLocks noChangeAspect="1"/>
                    </pic:cNvPicPr>
                  </pic:nvPicPr>
                  <pic:blipFill>
                    <a:blip r:embed="rId59"/>
                    <a:srcRect t="19808" b="11605"/>
                    <a:stretch>
                      <a:fillRect/>
                    </a:stretch>
                  </pic:blipFill>
                  <pic:spPr>
                    <a:xfrm>
                      <a:off x="0" y="0"/>
                      <a:ext cx="1800000" cy="1389418"/>
                    </a:xfrm>
                    <a:prstGeom prst="rect">
                      <a:avLst/>
                    </a:prstGeom>
                    <a:ln>
                      <a:noFill/>
                    </a:ln>
                  </pic:spPr>
                </pic:pic>
              </a:graphicData>
            </a:graphic>
          </wp:inline>
        </w:drawing>
      </w:r>
      <w:r>
        <w:rPr>
          <w:rFonts w:eastAsia="宋体" w:cs="Times New Roman"/>
          <w:sz w:val="24"/>
        </w:rPr>
        <w:t xml:space="preserve"> </w:t>
      </w:r>
      <w:r>
        <w:rPr>
          <w:rFonts w:cs="Times New Roman"/>
        </w:rPr>
        <w:drawing>
          <wp:inline distT="0" distB="0" distL="0" distR="0">
            <wp:extent cx="1979295" cy="1398270"/>
            <wp:effectExtent l="0" t="0" r="1905" b="0"/>
            <wp:docPr id="28707" name="图片 2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7" name="图片 28707"/>
                    <pic:cNvPicPr>
                      <a:picLocks noChangeAspect="1"/>
                    </pic:cNvPicPr>
                  </pic:nvPicPr>
                  <pic:blipFill>
                    <a:blip r:embed="rId60"/>
                    <a:srcRect b="26953"/>
                    <a:stretch>
                      <a:fillRect/>
                    </a:stretch>
                  </pic:blipFill>
                  <pic:spPr>
                    <a:xfrm>
                      <a:off x="0" y="0"/>
                      <a:ext cx="1980000" cy="1398843"/>
                    </a:xfrm>
                    <a:prstGeom prst="rect">
                      <a:avLst/>
                    </a:prstGeom>
                    <a:ln>
                      <a:noFill/>
                    </a:ln>
                  </pic:spPr>
                </pic:pic>
              </a:graphicData>
            </a:graphic>
          </wp:inline>
        </w:drawing>
      </w:r>
    </w:p>
    <w:p>
      <w:pPr>
        <w:adjustRightInd w:val="0"/>
        <w:snapToGrid w:val="0"/>
        <w:spacing w:line="360" w:lineRule="auto"/>
        <w:contextualSpacing/>
        <w:rPr>
          <w:rFonts w:eastAsia="宋体" w:cs="Times New Roman"/>
          <w:sz w:val="21"/>
          <w:szCs w:val="21"/>
        </w:rPr>
      </w:pPr>
      <w:bookmarkStart w:id="15" w:name="_Hlk92026890"/>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22</w:t>
      </w:r>
      <w:r>
        <w:rPr>
          <w:rFonts w:eastAsia="宋体" w:cs="Times New Roman"/>
          <w:sz w:val="21"/>
          <w:szCs w:val="21"/>
        </w:rPr>
        <w:t xml:space="preserve"> 行车超载限制器</w:t>
      </w:r>
      <w:r>
        <w:rPr>
          <w:rFonts w:hint="eastAsia" w:eastAsia="宋体" w:cs="Times New Roman"/>
          <w:sz w:val="21"/>
          <w:szCs w:val="21"/>
        </w:rPr>
        <w:t>示例</w:t>
      </w:r>
      <w:r>
        <w:rPr>
          <w:rFonts w:eastAsia="宋体" w:cs="Times New Roman"/>
          <w:sz w:val="21"/>
          <w:szCs w:val="21"/>
        </w:rPr>
        <w:t xml:space="preserve">   </w:t>
      </w: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23</w:t>
      </w:r>
      <w:r>
        <w:rPr>
          <w:rFonts w:eastAsia="宋体" w:cs="Times New Roman"/>
          <w:sz w:val="21"/>
          <w:szCs w:val="21"/>
        </w:rPr>
        <w:t>行车滑线指示灯</w:t>
      </w:r>
      <w:bookmarkEnd w:id="15"/>
      <w:r>
        <w:rPr>
          <w:rFonts w:hint="eastAsia" w:eastAsia="宋体" w:cs="Times New Roman"/>
          <w:sz w:val="21"/>
          <w:szCs w:val="21"/>
        </w:rPr>
        <w:t>示例</w:t>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19.车间电气室、地下油库、地下液压站、地下润滑站、地下加压站等要害部门，其出入口应不少于两个（室内面积小于6m</w:t>
      </w:r>
      <w:r>
        <w:rPr>
          <w:rFonts w:eastAsia="宋体" w:cs="Times New Roman"/>
          <w:sz w:val="24"/>
          <w:vertAlign w:val="superscript"/>
        </w:rPr>
        <w:t>2</w:t>
      </w:r>
      <w:r>
        <w:rPr>
          <w:rFonts w:eastAsia="宋体" w:cs="Times New Roman"/>
          <w:sz w:val="24"/>
        </w:rPr>
        <w:t>而无人值班的，可设一个），门应向外开。</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20.设有集中监视和显示的火警信号。</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21.所有设备设施建设应符合有关法律法规、标准规范要求。</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（二）企业应按规定对项目建议书、可行性研究、初步设计、总体开工方案、开工前安全条件确认和竣工验收等阶段进行规范管理；</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释义</w:t>
      </w:r>
      <w:r>
        <w:rPr>
          <w:rFonts w:eastAsia="宋体" w:cs="Times New Roman"/>
          <w:sz w:val="24"/>
        </w:rPr>
        <w:t>：</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对于新、改、扩建项目，企业应按照安全设施“三同时”管理制度执行，确保建设项目同时设计、同时施工、同时投入生产和使用。</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（三）生产设备设施变更应执行变更管理制度，履行变更程序，并对变更的全过程进行隐患控制。</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释义</w:t>
      </w:r>
      <w:r>
        <w:rPr>
          <w:rFonts w:eastAsia="宋体" w:cs="Times New Roman"/>
          <w:sz w:val="24"/>
        </w:rPr>
        <w:t>：</w:t>
      </w:r>
    </w:p>
    <w:tbl>
      <w:tblPr>
        <w:tblStyle w:val="17"/>
        <w:tblW w:w="0" w:type="auto"/>
        <w:jc w:val="center"/>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2482"/>
        <w:gridCol w:w="3456"/>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008" w:hRule="exact"/>
          <w:jc w:val="center"/>
        </w:trPr>
        <w:tc>
          <w:tcPr>
            <w:tcW w:w="2482" w:type="dxa"/>
          </w:tcPr>
          <w:p>
            <w:pPr>
              <w:spacing w:line="280" w:lineRule="exact"/>
              <w:jc w:val="center"/>
              <w:rPr>
                <w:b/>
                <w:bCs/>
                <w:sz w:val="13"/>
                <w:szCs w:val="13"/>
              </w:rPr>
            </w:pPr>
            <w:r>
              <w:rPr>
                <w:rFonts w:hint="eastAsia"/>
                <w:b/>
                <w:bCs/>
                <w:sz w:val="13"/>
                <w:szCs w:val="13"/>
              </w:rPr>
              <w:t>变更管理</w:t>
            </w:r>
          </w:p>
          <w:p>
            <w:pPr>
              <w:spacing w:line="280" w:lineRule="exact"/>
              <w:rPr>
                <w:sz w:val="13"/>
                <w:szCs w:val="13"/>
              </w:rPr>
            </w:pPr>
            <w:r>
              <w:rPr>
                <w:rFonts w:hint="eastAsia"/>
                <w:sz w:val="13"/>
                <w:szCs w:val="13"/>
              </w:rPr>
              <w:t>1.目的</w:t>
            </w:r>
          </w:p>
          <w:p>
            <w:pPr>
              <w:spacing w:line="280" w:lineRule="exact"/>
              <w:rPr>
                <w:sz w:val="13"/>
                <w:szCs w:val="13"/>
              </w:rPr>
            </w:pPr>
            <w:r>
              <w:rPr>
                <w:rFonts w:hint="eastAsia"/>
                <w:sz w:val="13"/>
                <w:szCs w:val="13"/>
              </w:rPr>
              <w:t>2.适用范围</w:t>
            </w:r>
          </w:p>
          <w:p>
            <w:pPr>
              <w:spacing w:line="280" w:lineRule="exact"/>
              <w:rPr>
                <w:sz w:val="13"/>
                <w:szCs w:val="13"/>
              </w:rPr>
            </w:pPr>
            <w:r>
              <w:rPr>
                <w:rFonts w:hint="eastAsia"/>
                <w:sz w:val="13"/>
                <w:szCs w:val="13"/>
              </w:rPr>
              <w:t>3.职责</w:t>
            </w:r>
          </w:p>
          <w:p>
            <w:pPr>
              <w:spacing w:line="280" w:lineRule="exact"/>
              <w:rPr>
                <w:sz w:val="13"/>
                <w:szCs w:val="13"/>
              </w:rPr>
            </w:pPr>
            <w:r>
              <w:rPr>
                <w:rFonts w:hint="eastAsia"/>
                <w:sz w:val="13"/>
                <w:szCs w:val="13"/>
              </w:rPr>
              <w:t>4.工作程序</w:t>
            </w:r>
          </w:p>
          <w:p>
            <w:pPr>
              <w:spacing w:line="280" w:lineRule="exact"/>
              <w:rPr>
                <w:sz w:val="13"/>
                <w:szCs w:val="13"/>
              </w:rPr>
            </w:pPr>
            <w:r>
              <w:rPr>
                <w:rFonts w:hint="eastAsia"/>
                <w:sz w:val="13"/>
                <w:szCs w:val="13"/>
              </w:rPr>
              <w:t>4.1变更管理的分类</w:t>
            </w:r>
          </w:p>
          <w:p>
            <w:pPr>
              <w:spacing w:line="280" w:lineRule="exact"/>
              <w:rPr>
                <w:sz w:val="13"/>
                <w:szCs w:val="13"/>
              </w:rPr>
            </w:pPr>
            <w:r>
              <w:rPr>
                <w:rFonts w:hint="eastAsia"/>
                <w:sz w:val="13"/>
                <w:szCs w:val="13"/>
              </w:rPr>
              <w:t>公司依据对健康、安全、环境造成影响的因素，确定变更范围：</w:t>
            </w:r>
          </w:p>
          <w:p>
            <w:pPr>
              <w:spacing w:line="280" w:lineRule="exact"/>
              <w:rPr>
                <w:sz w:val="13"/>
                <w:szCs w:val="13"/>
              </w:rPr>
            </w:pPr>
            <w:r>
              <w:rPr>
                <w:rFonts w:hint="eastAsia"/>
                <w:sz w:val="13"/>
                <w:szCs w:val="13"/>
              </w:rPr>
              <w:t>4.2变更的级别划分</w:t>
            </w:r>
          </w:p>
          <w:p>
            <w:pPr>
              <w:pStyle w:val="2"/>
              <w:spacing w:after="0" w:line="280" w:lineRule="exact"/>
              <w:rPr>
                <w:rFonts w:eastAsia="仿宋" w:cstheme="minorBidi"/>
                <w:sz w:val="13"/>
                <w:szCs w:val="13"/>
              </w:rPr>
            </w:pPr>
            <w:r>
              <w:rPr>
                <w:rFonts w:hint="eastAsia" w:eastAsia="仿宋" w:cstheme="minorBidi"/>
                <w:sz w:val="13"/>
                <w:szCs w:val="13"/>
              </w:rPr>
              <w:t>分为重大变更、一般变更小变更。</w:t>
            </w:r>
          </w:p>
          <w:p>
            <w:pPr>
              <w:pStyle w:val="2"/>
              <w:spacing w:after="0" w:line="280" w:lineRule="exact"/>
              <w:rPr>
                <w:rFonts w:eastAsia="仿宋" w:cstheme="minorBidi"/>
                <w:sz w:val="13"/>
                <w:szCs w:val="13"/>
              </w:rPr>
            </w:pPr>
            <w:r>
              <w:rPr>
                <w:rFonts w:hint="eastAsia" w:eastAsia="仿宋" w:cstheme="minorBidi"/>
                <w:sz w:val="13"/>
                <w:szCs w:val="13"/>
              </w:rPr>
              <w:t>4.3变更的控制与管理要求：</w:t>
            </w:r>
          </w:p>
          <w:p>
            <w:pPr>
              <w:pStyle w:val="2"/>
              <w:spacing w:after="0" w:line="280" w:lineRule="exact"/>
              <w:rPr>
                <w:rFonts w:eastAsia="仿宋" w:cstheme="minorBidi"/>
                <w:sz w:val="13"/>
                <w:szCs w:val="13"/>
              </w:rPr>
            </w:pPr>
            <w:r>
              <w:rPr>
                <w:rFonts w:hint="eastAsia" w:eastAsia="仿宋" w:cstheme="minorBidi"/>
                <w:sz w:val="13"/>
                <w:szCs w:val="13"/>
              </w:rPr>
              <w:t>4.4变更管理：</w:t>
            </w:r>
          </w:p>
          <w:p>
            <w:pPr>
              <w:pStyle w:val="2"/>
              <w:spacing w:after="0" w:line="280" w:lineRule="exact"/>
              <w:rPr>
                <w:rFonts w:eastAsia="仿宋" w:cstheme="minorBidi"/>
                <w:sz w:val="10"/>
                <w:szCs w:val="10"/>
              </w:rPr>
            </w:pPr>
            <w:r>
              <w:rPr>
                <w:rFonts w:hint="eastAsia" w:eastAsia="仿宋" w:cstheme="minorBidi"/>
                <w:sz w:val="13"/>
                <w:szCs w:val="13"/>
              </w:rPr>
              <w:t>5.相关记录</w:t>
            </w:r>
          </w:p>
        </w:tc>
        <w:tc>
          <w:tcPr>
            <w:tcW w:w="3357" w:type="dxa"/>
          </w:tcPr>
          <w:p>
            <w:pPr>
              <w:pStyle w:val="2"/>
              <w:spacing w:after="0" w:line="360" w:lineRule="auto"/>
              <w:rPr>
                <w:sz w:val="10"/>
                <w:szCs w:val="10"/>
              </w:rPr>
            </w:pPr>
            <w:r>
              <w:drawing>
                <wp:inline distT="0" distB="0" distL="0" distR="0">
                  <wp:extent cx="2051050" cy="2429510"/>
                  <wp:effectExtent l="0" t="0" r="6350"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61" cstate="print">
                            <a:extLst>
                              <a:ext uri="{28A0092B-C50C-407E-A947-70E740481C1C}">
                                <a14:useLocalDpi xmlns:a14="http://schemas.microsoft.com/office/drawing/2010/main" val="0"/>
                              </a:ext>
                            </a:extLst>
                          </a:blip>
                          <a:srcRect t="8118" b="4184"/>
                          <a:stretch>
                            <a:fillRect/>
                          </a:stretch>
                        </pic:blipFill>
                        <pic:spPr>
                          <a:xfrm>
                            <a:off x="0" y="0"/>
                            <a:ext cx="2052000" cy="2430602"/>
                          </a:xfrm>
                          <a:prstGeom prst="rect">
                            <a:avLst/>
                          </a:prstGeom>
                          <a:noFill/>
                          <a:ln>
                            <a:noFill/>
                          </a:ln>
                        </pic:spPr>
                      </pic:pic>
                    </a:graphicData>
                  </a:graphic>
                </wp:inline>
              </w:drawing>
            </w:r>
          </w:p>
        </w:tc>
      </w:tr>
    </w:tbl>
    <w:p>
      <w:pPr>
        <w:adjustRightInd w:val="0"/>
        <w:snapToGrid w:val="0"/>
        <w:spacing w:line="360" w:lineRule="auto"/>
        <w:contextualSpacing/>
        <w:rPr>
          <w:rFonts w:eastAsia="宋体" w:cs="Times New Roman"/>
          <w:b/>
          <w:bCs/>
          <w:sz w:val="21"/>
          <w:szCs w:val="21"/>
        </w:rPr>
      </w:pPr>
      <w:bookmarkStart w:id="16" w:name="_Hlk92027937"/>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24</w:t>
      </w:r>
      <w:r>
        <w:rPr>
          <w:rFonts w:eastAsia="宋体" w:cs="Times New Roman"/>
          <w:sz w:val="21"/>
          <w:szCs w:val="21"/>
        </w:rPr>
        <w:t>变更管理制度示例</w:t>
      </w:r>
      <w:bookmarkEnd w:id="16"/>
      <w:r>
        <w:rPr>
          <w:rFonts w:hint="eastAsia" w:eastAsia="宋体" w:cs="Times New Roman"/>
          <w:sz w:val="21"/>
          <w:szCs w:val="21"/>
        </w:rPr>
        <w:t xml:space="preserve"> </w:t>
      </w:r>
      <w:r>
        <w:rPr>
          <w:rFonts w:eastAsia="宋体" w:cs="Times New Roman"/>
          <w:sz w:val="21"/>
          <w:szCs w:val="21"/>
        </w:rPr>
        <w:t xml:space="preserve">        </w:t>
      </w:r>
      <w:r>
        <w:rPr>
          <w:rFonts w:hint="eastAsia" w:eastAsia="宋体" w:cs="Times New Roman"/>
          <w:sz w:val="21"/>
          <w:szCs w:val="21"/>
        </w:rPr>
        <w:t>图</w:t>
      </w:r>
      <w:r>
        <w:rPr>
          <w:rFonts w:eastAsia="宋体" w:cs="Times New Roman"/>
          <w:sz w:val="21"/>
          <w:szCs w:val="21"/>
        </w:rPr>
        <w:t>6.1-</w:t>
      </w:r>
      <w:r>
        <w:rPr>
          <w:rFonts w:hint="eastAsia" w:eastAsia="宋体" w:cs="Times New Roman"/>
          <w:sz w:val="21"/>
          <w:szCs w:val="21"/>
        </w:rPr>
        <w:t>25设备变更记录示例</w:t>
      </w:r>
    </w:p>
    <w:p>
      <w:pPr>
        <w:adjustRightInd w:val="0"/>
        <w:snapToGrid w:val="0"/>
        <w:spacing w:line="360" w:lineRule="auto"/>
        <w:ind w:firstLine="480" w:firstLineChars="200"/>
        <w:contextualSpacing/>
        <w:jc w:val="left"/>
        <w:outlineLvl w:val="9"/>
        <w:rPr>
          <w:rFonts w:eastAsia="宋体" w:cs="Times New Roman"/>
          <w:bCs/>
          <w:sz w:val="24"/>
        </w:rPr>
      </w:pPr>
    </w:p>
    <w:p>
      <w:pPr>
        <w:adjustRightInd w:val="0"/>
        <w:snapToGrid w:val="0"/>
        <w:spacing w:line="360" w:lineRule="auto"/>
        <w:ind w:firstLine="482" w:firstLineChars="200"/>
        <w:contextualSpacing/>
        <w:jc w:val="left"/>
        <w:outlineLvl w:val="1"/>
        <w:rPr>
          <w:rFonts w:eastAsia="宋体" w:cs="Times New Roman"/>
          <w:b/>
          <w:sz w:val="24"/>
        </w:rPr>
      </w:pPr>
      <w:r>
        <w:rPr>
          <w:rFonts w:eastAsia="宋体" w:cs="Times New Roman"/>
          <w:b/>
          <w:sz w:val="24"/>
        </w:rPr>
        <w:t>二、设备设施运行管理</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（一）企业应对生产设备设施进行规范化管理，保证其安全运行。企业应有专人负责管理各种安全设备设施，建立台账，定期检维修。对安全设备设施应制定检维修计划；</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1.建立设备设施的检修、维护、保养管理制度。</w:t>
      </w:r>
    </w:p>
    <w:p>
      <w:pPr>
        <w:pStyle w:val="2"/>
        <w:ind w:firstLine="480" w:firstLineChars="200"/>
        <w:rPr>
          <w:sz w:val="24"/>
          <w:szCs w:val="24"/>
        </w:rPr>
      </w:pPr>
      <w:r>
        <w:rPr>
          <w:rFonts w:hint="eastAsia"/>
          <w:sz w:val="24"/>
          <w:szCs w:val="24"/>
        </w:rPr>
        <w:t>释义：</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
          </w:tcPr>
          <w:p>
            <w:pPr>
              <w:pStyle w:val="2"/>
              <w:spacing w:after="0"/>
              <w:jc w:val="center"/>
              <w:rPr>
                <w:rFonts w:ascii="宋体" w:hAnsi="宋体"/>
                <w:sz w:val="21"/>
                <w:szCs w:val="21"/>
              </w:rPr>
            </w:pPr>
            <w:bookmarkStart w:id="17" w:name="_Hlk93663421"/>
            <w:r>
              <w:rPr>
                <w:rFonts w:hint="eastAsia" w:ascii="宋体" w:hAnsi="宋体"/>
                <w:sz w:val="21"/>
                <w:szCs w:val="21"/>
              </w:rPr>
              <w:t>设备设施检修、维护、保养管理制度</w:t>
            </w:r>
            <w:bookmarkEnd w:id="1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tcPr>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1.目的</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2.适用范围</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3.职责</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4.工作要求</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 xml:space="preserve">4.1设备日常管理措施 </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4.2设备维护保养</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4.3 使用过程故障维修</w:t>
            </w:r>
          </w:p>
        </w:tc>
        <w:tc>
          <w:tcPr>
            <w:tcW w:w="2500" w:type="pct"/>
          </w:tcPr>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5．相关文件</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施工检维修管理制度</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安全作业管理制度</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6.相关记录</w:t>
            </w:r>
          </w:p>
          <w:p>
            <w:pPr>
              <w:spacing w:line="280" w:lineRule="exact"/>
              <w:jc w:val="left"/>
              <w:rPr>
                <w:rFonts w:ascii="宋体" w:hAnsi="宋体" w:eastAsia="宋体" w:cs="Times New Roman"/>
                <w:sz w:val="21"/>
                <w:szCs w:val="21"/>
              </w:rPr>
            </w:pPr>
            <w:r>
              <w:rPr>
                <w:rFonts w:hint="eastAsia" w:ascii="宋体" w:hAnsi="宋体" w:eastAsia="宋体" w:cs="Times New Roman"/>
                <w:sz w:val="21"/>
                <w:szCs w:val="21"/>
              </w:rPr>
              <w:t>《设备检修计划》</w:t>
            </w:r>
          </w:p>
          <w:p>
            <w:pPr>
              <w:pStyle w:val="2"/>
              <w:spacing w:after="0"/>
              <w:rPr>
                <w:rFonts w:ascii="宋体" w:hAnsi="宋体"/>
                <w:sz w:val="21"/>
                <w:szCs w:val="21"/>
              </w:rPr>
            </w:pPr>
            <w:r>
              <w:rPr>
                <w:rFonts w:hint="eastAsia" w:ascii="宋体" w:hAnsi="宋体"/>
                <w:sz w:val="21"/>
                <w:szCs w:val="21"/>
              </w:rPr>
              <w:t>《设备检修记录》</w:t>
            </w:r>
          </w:p>
        </w:tc>
      </w:tr>
    </w:tbl>
    <w:p>
      <w:pPr>
        <w:adjustRightInd w:val="0"/>
        <w:snapToGrid w:val="0"/>
        <w:spacing w:line="360" w:lineRule="auto"/>
        <w:ind w:firstLine="420" w:firstLineChars="200"/>
        <w:contextualSpacing/>
        <w:jc w:val="center"/>
        <w:rPr>
          <w:rFonts w:eastAsia="宋体" w:cs="Times New Roman"/>
          <w:sz w:val="21"/>
          <w:szCs w:val="21"/>
        </w:rPr>
      </w:pPr>
      <w:r>
        <w:rPr>
          <w:rFonts w:hint="eastAsia" w:eastAsia="宋体" w:cs="Times New Roman"/>
          <w:sz w:val="21"/>
          <w:szCs w:val="21"/>
        </w:rPr>
        <w:t>图</w:t>
      </w:r>
      <w:r>
        <w:rPr>
          <w:rFonts w:eastAsia="宋体" w:cs="Times New Roman"/>
          <w:sz w:val="21"/>
          <w:szCs w:val="21"/>
        </w:rPr>
        <w:t>6.2</w:t>
      </w:r>
      <w:r>
        <w:rPr>
          <w:rFonts w:hint="eastAsia" w:eastAsia="宋体" w:cs="Times New Roman"/>
          <w:sz w:val="21"/>
          <w:szCs w:val="21"/>
        </w:rPr>
        <w:t>-1 设备设施检修、维护、保养管理制度示例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2.建立设备设施运行台账，制定检（维）修计划。</w:t>
      </w:r>
    </w:p>
    <w:p>
      <w:pPr>
        <w:pStyle w:val="2"/>
        <w:ind w:firstLine="480" w:firstLineChars="200"/>
        <w:rPr>
          <w:sz w:val="24"/>
          <w:szCs w:val="24"/>
        </w:rPr>
      </w:pPr>
      <w:bookmarkStart w:id="18" w:name="_Hlk93663534"/>
      <w:r>
        <w:rPr>
          <w:rFonts w:hint="eastAsia"/>
          <w:sz w:val="24"/>
          <w:szCs w:val="24"/>
        </w:rPr>
        <w:t>释义：</w:t>
      </w:r>
    </w:p>
    <w:bookmarkEnd w:id="18"/>
    <w:p>
      <w:pPr>
        <w:pStyle w:val="2"/>
      </w:pPr>
      <w:r>
        <w:rPr>
          <w:rFonts w:eastAsia="仿宋"/>
          <w:sz w:val="32"/>
          <w:szCs w:val="24"/>
        </w:rPr>
        <w:drawing>
          <wp:inline distT="0" distB="0" distL="0" distR="0">
            <wp:extent cx="3888105" cy="1798955"/>
            <wp:effectExtent l="0" t="0" r="0" b="0"/>
            <wp:docPr id="28723" name="图片 28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3" name="图片 28723"/>
                    <pic:cNvPicPr>
                      <a:picLocks noChangeAspect="1"/>
                    </pic:cNvPicPr>
                  </pic:nvPicPr>
                  <pic:blipFill>
                    <a:blip r:embed="rId62"/>
                    <a:srcRect l="1728" r="2784"/>
                    <a:stretch>
                      <a:fillRect/>
                    </a:stretch>
                  </pic:blipFill>
                  <pic:spPr>
                    <a:xfrm>
                      <a:off x="0" y="0"/>
                      <a:ext cx="3894789" cy="1802040"/>
                    </a:xfrm>
                    <a:prstGeom prst="rect">
                      <a:avLst/>
                    </a:prstGeom>
                    <a:ln>
                      <a:noFill/>
                    </a:ln>
                  </pic:spPr>
                </pic:pic>
              </a:graphicData>
            </a:graphic>
          </wp:inline>
        </w:drawing>
      </w:r>
    </w:p>
    <w:p>
      <w:pPr>
        <w:adjustRightInd w:val="0"/>
        <w:snapToGrid w:val="0"/>
        <w:spacing w:line="360" w:lineRule="auto"/>
        <w:ind w:firstLine="420" w:firstLineChars="200"/>
        <w:contextualSpacing/>
        <w:jc w:val="center"/>
        <w:rPr>
          <w:rFonts w:eastAsia="宋体" w:cs="Times New Roman"/>
          <w:sz w:val="21"/>
          <w:szCs w:val="21"/>
        </w:rPr>
      </w:pPr>
      <w:r>
        <w:rPr>
          <w:rFonts w:hint="eastAsia" w:eastAsia="宋体" w:cs="Times New Roman"/>
          <w:sz w:val="21"/>
          <w:szCs w:val="21"/>
        </w:rPr>
        <w:t>图</w:t>
      </w:r>
      <w:r>
        <w:rPr>
          <w:rFonts w:eastAsia="宋体" w:cs="Times New Roman"/>
          <w:sz w:val="21"/>
          <w:szCs w:val="21"/>
        </w:rPr>
        <w:t>6.2</w:t>
      </w:r>
      <w:r>
        <w:rPr>
          <w:rFonts w:hint="eastAsia" w:eastAsia="宋体" w:cs="Times New Roman"/>
          <w:sz w:val="21"/>
          <w:szCs w:val="21"/>
        </w:rPr>
        <w:t>-</w:t>
      </w:r>
      <w:r>
        <w:rPr>
          <w:rFonts w:eastAsia="宋体" w:cs="Times New Roman"/>
          <w:sz w:val="21"/>
          <w:szCs w:val="21"/>
        </w:rPr>
        <w:t>2</w:t>
      </w:r>
      <w:r>
        <w:rPr>
          <w:rFonts w:hint="eastAsia" w:eastAsia="宋体" w:cs="Times New Roman"/>
          <w:sz w:val="21"/>
          <w:szCs w:val="21"/>
        </w:rPr>
        <w:t xml:space="preserve"> 设备设施设备设施检维修计划表示例</w:t>
      </w:r>
    </w:p>
    <w:p>
      <w:pPr>
        <w:adjustRightInd w:val="0"/>
        <w:snapToGrid w:val="0"/>
        <w:spacing w:line="360" w:lineRule="auto"/>
        <w:ind w:firstLine="480" w:firstLineChars="200"/>
        <w:contextualSpacing/>
        <w:jc w:val="left"/>
      </w:pPr>
      <w:r>
        <w:rPr>
          <w:rFonts w:eastAsia="宋体" w:cs="Times New Roman"/>
          <w:sz w:val="24"/>
        </w:rPr>
        <w:t>3.按规定对有关设备、设施、仪器仪表、工具等进行检测检验检定，并归档保存有关资料。</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4.吊车的滑线应布置在吊车司机室的另一侧；若布置在同一侧，应采取安全防护措施。</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5.吊具应有专人管理，在其安全系数允许范围内使用。钢丝绳和链条的安全系数和钢丝绳的报废标准，应符合《起重机械安全规程》（GB6067）的有关规定。</w:t>
      </w:r>
    </w:p>
    <w:p>
      <w:pPr>
        <w:pStyle w:val="2"/>
        <w:ind w:firstLine="480" w:firstLineChars="200"/>
        <w:rPr>
          <w:sz w:val="24"/>
          <w:szCs w:val="24"/>
        </w:rPr>
      </w:pPr>
    </w:p>
    <w:p>
      <w:pPr>
        <w:pStyle w:val="2"/>
        <w:ind w:firstLine="480" w:firstLineChars="200"/>
        <w:rPr>
          <w:sz w:val="24"/>
          <w:szCs w:val="24"/>
        </w:rPr>
      </w:pPr>
      <w:r>
        <w:rPr>
          <w:rFonts w:hint="eastAsia"/>
          <w:sz w:val="24"/>
          <w:szCs w:val="24"/>
        </w:rPr>
        <w:t>释义：</w:t>
      </w:r>
    </w:p>
    <w:p>
      <w:pPr>
        <w:adjustRightInd w:val="0"/>
        <w:snapToGrid w:val="0"/>
        <w:spacing w:line="360" w:lineRule="auto"/>
        <w:contextualSpacing/>
        <w:jc w:val="left"/>
        <w:rPr>
          <w:rFonts w:eastAsia="宋体" w:cs="Times New Roman"/>
          <w:sz w:val="24"/>
        </w:rPr>
      </w:pPr>
      <w:r>
        <w:rPr>
          <w:rFonts w:cs="Times New Roman"/>
        </w:rPr>
        <w:drawing>
          <wp:inline distT="0" distB="0" distL="0" distR="0">
            <wp:extent cx="1799590" cy="1116330"/>
            <wp:effectExtent l="0" t="0" r="0" b="762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63"/>
                    <a:stretch>
                      <a:fillRect/>
                    </a:stretch>
                  </pic:blipFill>
                  <pic:spPr>
                    <a:xfrm>
                      <a:off x="0" y="0"/>
                      <a:ext cx="1800000" cy="1116512"/>
                    </a:xfrm>
                    <a:prstGeom prst="rect">
                      <a:avLst/>
                    </a:prstGeom>
                  </pic:spPr>
                </pic:pic>
              </a:graphicData>
            </a:graphic>
          </wp:inline>
        </w:drawing>
      </w:r>
      <w:r>
        <w:rPr>
          <w:rFonts w:eastAsia="宋体" w:cs="Times New Roman"/>
          <w:sz w:val="24"/>
        </w:rPr>
        <w:t xml:space="preserve"> </w:t>
      </w:r>
      <w:r>
        <w:rPr>
          <w:rFonts w:cs="Times New Roman"/>
        </w:rPr>
        <w:drawing>
          <wp:inline distT="0" distB="0" distL="0" distR="0">
            <wp:extent cx="1979930" cy="586105"/>
            <wp:effectExtent l="0" t="0" r="1270" b="444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4"/>
                    <a:stretch>
                      <a:fillRect/>
                    </a:stretch>
                  </pic:blipFill>
                  <pic:spPr>
                    <a:xfrm>
                      <a:off x="0" y="0"/>
                      <a:ext cx="1980000" cy="586269"/>
                    </a:xfrm>
                    <a:prstGeom prst="rect">
                      <a:avLst/>
                    </a:prstGeom>
                  </pic:spPr>
                </pic:pic>
              </a:graphicData>
            </a:graphic>
          </wp:inline>
        </w:drawing>
      </w:r>
    </w:p>
    <w:p>
      <w:pPr>
        <w:adjustRightInd w:val="0"/>
        <w:snapToGrid w:val="0"/>
        <w:spacing w:line="360" w:lineRule="auto"/>
        <w:ind w:firstLine="420" w:firstLineChars="200"/>
        <w:contextualSpacing/>
        <w:rPr>
          <w:rFonts w:eastAsia="宋体" w:cs="Times New Roman"/>
          <w:sz w:val="21"/>
          <w:szCs w:val="21"/>
        </w:rPr>
      </w:pPr>
      <w:bookmarkStart w:id="19" w:name="_Hlk92029480"/>
      <w:r>
        <w:rPr>
          <w:rFonts w:hint="eastAsia" w:eastAsia="宋体" w:cs="Times New Roman"/>
          <w:sz w:val="21"/>
          <w:szCs w:val="21"/>
        </w:rPr>
        <w:t>图</w:t>
      </w:r>
      <w:r>
        <w:rPr>
          <w:rFonts w:eastAsia="宋体" w:cs="Times New Roman"/>
          <w:sz w:val="21"/>
          <w:szCs w:val="21"/>
        </w:rPr>
        <w:t xml:space="preserve">6.2-3吊钩报废标准      </w:t>
      </w:r>
      <w:r>
        <w:rPr>
          <w:rFonts w:hint="eastAsia" w:eastAsia="宋体" w:cs="Times New Roman"/>
          <w:sz w:val="21"/>
          <w:szCs w:val="21"/>
        </w:rPr>
        <w:t>图</w:t>
      </w:r>
      <w:r>
        <w:rPr>
          <w:rFonts w:eastAsia="宋体" w:cs="Times New Roman"/>
          <w:sz w:val="21"/>
          <w:szCs w:val="21"/>
        </w:rPr>
        <w:t>6.2-4吊具主要零部件报废标准</w:t>
      </w:r>
    </w:p>
    <w:bookmarkEnd w:id="19"/>
    <w:p>
      <w:pPr>
        <w:adjustRightInd w:val="0"/>
        <w:snapToGrid w:val="0"/>
        <w:spacing w:line="360" w:lineRule="auto"/>
        <w:contextualSpacing/>
        <w:rPr>
          <w:rFonts w:eastAsia="宋体" w:cs="Times New Roman"/>
          <w:sz w:val="24"/>
        </w:rPr>
      </w:pPr>
    </w:p>
    <w:p>
      <w:pPr>
        <w:adjustRightInd w:val="0"/>
        <w:snapToGrid w:val="0"/>
        <w:spacing w:line="360" w:lineRule="auto"/>
        <w:contextualSpacing/>
        <w:rPr>
          <w:rFonts w:eastAsia="宋体" w:cs="Times New Roman"/>
          <w:sz w:val="24"/>
        </w:rPr>
      </w:pPr>
      <w:r>
        <w:rPr>
          <w:rFonts w:cs="Times New Roman"/>
        </w:rPr>
        <w:drawing>
          <wp:inline distT="0" distB="0" distL="0" distR="0">
            <wp:extent cx="1871980" cy="116522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5"/>
                    <a:stretch>
                      <a:fillRect/>
                    </a:stretch>
                  </pic:blipFill>
                  <pic:spPr>
                    <a:xfrm>
                      <a:off x="0" y="0"/>
                      <a:ext cx="1872000" cy="1165757"/>
                    </a:xfrm>
                    <a:prstGeom prst="rect">
                      <a:avLst/>
                    </a:prstGeom>
                  </pic:spPr>
                </pic:pic>
              </a:graphicData>
            </a:graphic>
          </wp:inline>
        </w:drawing>
      </w:r>
      <w:r>
        <w:rPr>
          <w:rFonts w:cs="Times New Roman"/>
        </w:rPr>
        <w:drawing>
          <wp:inline distT="0" distB="0" distL="0" distR="0">
            <wp:extent cx="1943735" cy="120777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66"/>
                    <a:stretch>
                      <a:fillRect/>
                    </a:stretch>
                  </pic:blipFill>
                  <pic:spPr>
                    <a:xfrm>
                      <a:off x="0" y="0"/>
                      <a:ext cx="1944000" cy="1208053"/>
                    </a:xfrm>
                    <a:prstGeom prst="rect">
                      <a:avLst/>
                    </a:prstGeom>
                  </pic:spPr>
                </pic:pic>
              </a:graphicData>
            </a:graphic>
          </wp:inline>
        </w:drawing>
      </w:r>
      <w:r>
        <w:rPr>
          <w:rFonts w:hint="eastAsia" w:eastAsia="宋体" w:cs="Times New Roman"/>
          <w:sz w:val="21"/>
          <w:szCs w:val="21"/>
        </w:rPr>
        <w:t>图6</w:t>
      </w:r>
      <w:r>
        <w:rPr>
          <w:rFonts w:eastAsia="宋体" w:cs="Times New Roman"/>
          <w:sz w:val="21"/>
          <w:szCs w:val="21"/>
        </w:rPr>
        <w:t xml:space="preserve">.2-5链环和端部配件报废标准     </w:t>
      </w:r>
      <w:r>
        <w:rPr>
          <w:rFonts w:hint="eastAsia" w:eastAsia="宋体" w:cs="Times New Roman"/>
          <w:sz w:val="21"/>
          <w:szCs w:val="21"/>
        </w:rPr>
        <w:t>图</w:t>
      </w:r>
      <w:r>
        <w:rPr>
          <w:rFonts w:eastAsia="宋体" w:cs="Times New Roman"/>
          <w:sz w:val="21"/>
          <w:szCs w:val="21"/>
        </w:rPr>
        <w:t>6.2-6钢丝绳报废标准</w:t>
      </w:r>
      <w:bookmarkStart w:id="20" w:name="_Hlk92029617"/>
    </w:p>
    <w:bookmarkEnd w:id="20"/>
    <w:p>
      <w:pPr>
        <w:adjustRightInd w:val="0"/>
        <w:snapToGrid w:val="0"/>
        <w:spacing w:line="360" w:lineRule="auto"/>
        <w:contextualSpacing/>
        <w:rPr>
          <w:rFonts w:eastAsia="宋体" w:cs="Times New Roman"/>
          <w:sz w:val="24"/>
        </w:rPr>
      </w:pPr>
      <w:r>
        <w:rPr>
          <w:rFonts w:cs="Times New Roman"/>
        </w:rPr>
        <w:drawing>
          <wp:inline distT="0" distB="0" distL="0" distR="0">
            <wp:extent cx="1943735" cy="927100"/>
            <wp:effectExtent l="0" t="0" r="0"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7"/>
                    <a:stretch>
                      <a:fillRect/>
                    </a:stretch>
                  </pic:blipFill>
                  <pic:spPr>
                    <a:xfrm>
                      <a:off x="0" y="0"/>
                      <a:ext cx="1944000" cy="927711"/>
                    </a:xfrm>
                    <a:prstGeom prst="rect">
                      <a:avLst/>
                    </a:prstGeom>
                  </pic:spPr>
                </pic:pic>
              </a:graphicData>
            </a:graphic>
          </wp:inline>
        </w:drawing>
      </w:r>
      <w:r>
        <w:rPr>
          <w:rFonts w:eastAsia="宋体" w:cs="Times New Roman"/>
          <w:sz w:val="24"/>
        </w:rPr>
        <w:t xml:space="preserve"> </w:t>
      </w:r>
      <w:r>
        <w:rPr>
          <w:rFonts w:cs="Times New Roman"/>
        </w:rPr>
        <w:drawing>
          <wp:inline distT="0" distB="0" distL="0" distR="0">
            <wp:extent cx="1835785" cy="103314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68"/>
                    <a:stretch>
                      <a:fillRect/>
                    </a:stretch>
                  </pic:blipFill>
                  <pic:spPr>
                    <a:xfrm>
                      <a:off x="0" y="0"/>
                      <a:ext cx="1836000" cy="1033594"/>
                    </a:xfrm>
                    <a:prstGeom prst="rect">
                      <a:avLst/>
                    </a:prstGeom>
                  </pic:spPr>
                </pic:pic>
              </a:graphicData>
            </a:graphic>
          </wp:inline>
        </w:drawing>
      </w:r>
    </w:p>
    <w:p>
      <w:pPr>
        <w:pStyle w:val="2"/>
        <w:jc w:val="left"/>
        <w:rPr>
          <w:sz w:val="24"/>
          <w:szCs w:val="24"/>
        </w:rPr>
      </w:pPr>
      <w:r>
        <w:rPr>
          <w:rFonts w:hint="eastAsia"/>
          <w:sz w:val="21"/>
          <w:szCs w:val="21"/>
        </w:rPr>
        <w:t>图</w:t>
      </w:r>
      <w:r>
        <w:rPr>
          <w:sz w:val="21"/>
          <w:szCs w:val="21"/>
        </w:rPr>
        <w:t xml:space="preserve">6.2-7吊带报废标准             </w:t>
      </w:r>
      <w:r>
        <w:rPr>
          <w:rFonts w:hint="eastAsia"/>
          <w:sz w:val="21"/>
          <w:szCs w:val="21"/>
        </w:rPr>
        <w:t>图</w:t>
      </w:r>
      <w:r>
        <w:rPr>
          <w:sz w:val="21"/>
          <w:szCs w:val="21"/>
        </w:rPr>
        <w:t>6.2-8纤维吊索具报废标准</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6.吊运物行走的安全路线，不应跨越有人操作的固定岗位或经常有人停留的场所，且不应随意越过主体设备。</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7.设置的CO等有毒有害气体、物质报警仪应定期检验，确保其处于安全状态。</w:t>
      </w:r>
    </w:p>
    <w:p>
      <w:pPr>
        <w:pStyle w:val="2"/>
        <w:ind w:firstLine="480" w:firstLineChars="200"/>
        <w:rPr>
          <w:sz w:val="24"/>
          <w:szCs w:val="24"/>
        </w:rPr>
      </w:pPr>
      <w:r>
        <w:rPr>
          <w:rFonts w:hint="eastAsia"/>
          <w:sz w:val="24"/>
          <w:szCs w:val="24"/>
        </w:rPr>
        <w:t>释义：</w:t>
      </w:r>
    </w:p>
    <w:p>
      <w:pPr>
        <w:pStyle w:val="2"/>
        <w:ind w:firstLine="640" w:firstLineChars="200"/>
        <w:jc w:val="center"/>
        <w:rPr>
          <w:sz w:val="24"/>
          <w:szCs w:val="24"/>
        </w:rPr>
      </w:pPr>
      <w:r>
        <w:rPr>
          <w:rFonts w:eastAsia="仿宋"/>
          <w:sz w:val="32"/>
          <w:szCs w:val="24"/>
        </w:rPr>
        <w:drawing>
          <wp:inline distT="0" distB="0" distL="0" distR="0">
            <wp:extent cx="2040255" cy="2669540"/>
            <wp:effectExtent l="0" t="0" r="17145" b="165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9"/>
                    <a:stretch>
                      <a:fillRect/>
                    </a:stretch>
                  </pic:blipFill>
                  <pic:spPr>
                    <a:xfrm>
                      <a:off x="0" y="0"/>
                      <a:ext cx="2040255" cy="2669540"/>
                    </a:xfrm>
                    <a:prstGeom prst="rect">
                      <a:avLst/>
                    </a:prstGeom>
                  </pic:spPr>
                </pic:pic>
              </a:graphicData>
            </a:graphic>
          </wp:inline>
        </w:drawing>
      </w:r>
    </w:p>
    <w:p>
      <w:pPr>
        <w:pStyle w:val="2"/>
        <w:ind w:firstLine="420" w:firstLineChars="200"/>
        <w:jc w:val="center"/>
        <w:rPr>
          <w:sz w:val="24"/>
          <w:szCs w:val="24"/>
        </w:rPr>
      </w:pPr>
      <w:r>
        <w:rPr>
          <w:rFonts w:hint="eastAsia"/>
          <w:sz w:val="21"/>
          <w:szCs w:val="21"/>
        </w:rPr>
        <w:t>图6</w:t>
      </w:r>
      <w:r>
        <w:rPr>
          <w:sz w:val="21"/>
          <w:szCs w:val="21"/>
        </w:rPr>
        <w:t>.2-9有毒气体报警仪出厂检验报告</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8.压力容器应满足：压力容器本体及安全附件在检验有效期内使用，本体完好；连接元件无异常振动、磨擦、松动；安全附件、显示装置、报警装置、联锁装置完好，调试、更换记录齐全；运行和使用符合相关规定，无超压、超温等现象。</w:t>
      </w:r>
    </w:p>
    <w:p>
      <w:pPr>
        <w:pStyle w:val="2"/>
        <w:ind w:firstLine="480" w:firstLineChars="200"/>
        <w:rPr>
          <w:sz w:val="24"/>
          <w:szCs w:val="24"/>
        </w:rPr>
      </w:pPr>
      <w:r>
        <w:rPr>
          <w:rFonts w:hint="eastAsia"/>
          <w:sz w:val="24"/>
          <w:szCs w:val="24"/>
        </w:rPr>
        <w:t>释义：</w:t>
      </w:r>
    </w:p>
    <w:p>
      <w:pPr>
        <w:adjustRightInd w:val="0"/>
        <w:snapToGrid w:val="0"/>
        <w:spacing w:line="360" w:lineRule="auto"/>
        <w:contextualSpacing/>
        <w:jc w:val="center"/>
        <w:rPr>
          <w:rFonts w:eastAsia="宋体" w:cs="Times New Roman"/>
          <w:sz w:val="24"/>
        </w:rPr>
      </w:pPr>
      <w:r>
        <w:rPr>
          <w:rFonts w:eastAsia="宋体" w:cs="Times New Roman"/>
          <w:sz w:val="24"/>
        </w:rPr>
        <w:t xml:space="preserve">  </w:t>
      </w:r>
      <w:r>
        <w:rPr>
          <w:rFonts w:cs="Times New Roman"/>
        </w:rPr>
        <w:drawing>
          <wp:inline distT="0" distB="0" distL="0" distR="0">
            <wp:extent cx="1492885" cy="2209165"/>
            <wp:effectExtent l="0" t="0" r="0" b="63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70"/>
                    <a:stretch>
                      <a:fillRect/>
                    </a:stretch>
                  </pic:blipFill>
                  <pic:spPr>
                    <a:xfrm>
                      <a:off x="0" y="0"/>
                      <a:ext cx="1497972" cy="2216989"/>
                    </a:xfrm>
                    <a:prstGeom prst="rect">
                      <a:avLst/>
                    </a:prstGeom>
                  </pic:spPr>
                </pic:pic>
              </a:graphicData>
            </a:graphic>
          </wp:inline>
        </w:drawing>
      </w:r>
    </w:p>
    <w:p>
      <w:pPr>
        <w:adjustRightInd w:val="0"/>
        <w:snapToGrid w:val="0"/>
        <w:spacing w:line="360" w:lineRule="auto"/>
        <w:contextualSpacing/>
        <w:jc w:val="center"/>
        <w:rPr>
          <w:rFonts w:eastAsia="宋体" w:cs="Times New Roman"/>
          <w:sz w:val="21"/>
          <w:szCs w:val="21"/>
        </w:rPr>
      </w:pPr>
      <w:bookmarkStart w:id="21" w:name="_Hlk93663910"/>
      <w:r>
        <w:rPr>
          <w:rFonts w:hint="eastAsia" w:eastAsia="宋体" w:cs="Times New Roman"/>
          <w:sz w:val="21"/>
          <w:szCs w:val="21"/>
        </w:rPr>
        <w:t>图</w:t>
      </w:r>
      <w:r>
        <w:rPr>
          <w:rFonts w:eastAsia="宋体" w:cs="Times New Roman"/>
          <w:sz w:val="21"/>
          <w:szCs w:val="21"/>
        </w:rPr>
        <w:t>6</w:t>
      </w:r>
      <w:bookmarkEnd w:id="21"/>
      <w:r>
        <w:rPr>
          <w:rFonts w:eastAsia="宋体" w:cs="Times New Roman"/>
          <w:sz w:val="21"/>
          <w:szCs w:val="21"/>
        </w:rPr>
        <w:t>.2-10压力容器登记证</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9.锅炉与辅机锅炉应满足：“三证”齐全；安全附件完好，安全阀、水位表、压力表齐全、灵敏、可靠，排污装置无泄漏；按规定合理设置报警和连锁保护装置；给水设备完好，匹配合理；炉墙无严重漏风、漏烟，油、气、煤粉炉防爆式装置好；水质处理应能达到指标要求，炉内水垢在1.5mm以下；各类管道无泄漏，保温层完好无损，管道构架牢固可靠；其他辅机设备应符合机械安全要求。</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10.工业气瓶应满足：储存仓库状态良好，安全标志完善，气瓶存放位置、间距、标志及存放量符合要求。各种护具及消防器材齐全可靠。气瓶在检验期内使用，外观无缺陷及腐蚀，漆色及标志正确、明显，安全附件齐全、完好。气瓶使用时的防倾倒措施可靠，工作场地存放量符合规定，与明火的间距符合规定。</w:t>
      </w:r>
    </w:p>
    <w:p>
      <w:pPr>
        <w:pStyle w:val="2"/>
        <w:ind w:firstLine="480" w:firstLineChars="200"/>
        <w:rPr>
          <w:sz w:val="24"/>
          <w:szCs w:val="24"/>
        </w:rPr>
      </w:pPr>
      <w:r>
        <w:rPr>
          <w:rFonts w:hint="eastAsia"/>
          <w:sz w:val="24"/>
          <w:szCs w:val="24"/>
        </w:rPr>
        <w:t>释义：</w:t>
      </w:r>
    </w:p>
    <w:p>
      <w:pPr>
        <w:pStyle w:val="2"/>
        <w:jc w:val="center"/>
      </w:pPr>
      <w:r>
        <w:rPr>
          <w:rFonts w:eastAsia="仿宋"/>
          <w:sz w:val="32"/>
          <w:szCs w:val="24"/>
        </w:rPr>
        <w:drawing>
          <wp:inline distT="0" distB="0" distL="0" distR="0">
            <wp:extent cx="1798955" cy="242760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1"/>
                    <a:stretch>
                      <a:fillRect/>
                    </a:stretch>
                  </pic:blipFill>
                  <pic:spPr>
                    <a:xfrm>
                      <a:off x="0" y="0"/>
                      <a:ext cx="1816715" cy="2451432"/>
                    </a:xfrm>
                    <a:prstGeom prst="rect">
                      <a:avLst/>
                    </a:prstGeom>
                  </pic:spPr>
                </pic:pic>
              </a:graphicData>
            </a:graphic>
          </wp:inline>
        </w:drawing>
      </w:r>
      <w:r>
        <w:rPr>
          <w:rFonts w:hint="eastAsia"/>
        </w:rPr>
        <w:t xml:space="preserve"> </w:t>
      </w:r>
      <w:r>
        <w:t xml:space="preserve">  </w:t>
      </w:r>
      <w:r>
        <w:rPr>
          <w:rFonts w:eastAsia="仿宋"/>
          <w:sz w:val="32"/>
          <w:szCs w:val="24"/>
        </w:rPr>
        <w:drawing>
          <wp:inline distT="0" distB="0" distL="0" distR="0">
            <wp:extent cx="1798320" cy="2443480"/>
            <wp:effectExtent l="0" t="0" r="0" b="0"/>
            <wp:docPr id="27648" name="图片 2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8" name="图片 27648"/>
                    <pic:cNvPicPr>
                      <a:picLocks noChangeAspect="1"/>
                    </pic:cNvPicPr>
                  </pic:nvPicPr>
                  <pic:blipFill>
                    <a:blip r:embed="rId72"/>
                    <a:stretch>
                      <a:fillRect/>
                    </a:stretch>
                  </pic:blipFill>
                  <pic:spPr>
                    <a:xfrm>
                      <a:off x="0" y="0"/>
                      <a:ext cx="1835182" cy="2493053"/>
                    </a:xfrm>
                    <a:prstGeom prst="rect">
                      <a:avLst/>
                    </a:prstGeom>
                  </pic:spPr>
                </pic:pic>
              </a:graphicData>
            </a:graphic>
          </wp:inline>
        </w:drawing>
      </w:r>
    </w:p>
    <w:p>
      <w:pPr>
        <w:adjustRightInd w:val="0"/>
        <w:snapToGrid w:val="0"/>
        <w:spacing w:line="360" w:lineRule="auto"/>
        <w:contextualSpacing/>
        <w:jc w:val="center"/>
        <w:rPr>
          <w:rFonts w:eastAsia="宋体" w:cs="Times New Roman"/>
          <w:sz w:val="21"/>
          <w:szCs w:val="21"/>
        </w:rPr>
      </w:pPr>
      <w:r>
        <w:rPr>
          <w:rFonts w:hint="eastAsia" w:eastAsia="宋体" w:cs="Times New Roman"/>
          <w:sz w:val="21"/>
          <w:szCs w:val="21"/>
        </w:rPr>
        <w:t>图</w:t>
      </w:r>
      <w:r>
        <w:rPr>
          <w:rFonts w:eastAsia="宋体" w:cs="Times New Roman"/>
          <w:sz w:val="21"/>
          <w:szCs w:val="21"/>
        </w:rPr>
        <w:t>6.2-11工业气瓶安全附件</w:t>
      </w:r>
      <w:r>
        <w:rPr>
          <w:rFonts w:hint="eastAsia" w:eastAsia="宋体" w:cs="Times New Roman"/>
          <w:sz w:val="21"/>
          <w:szCs w:val="21"/>
        </w:rPr>
        <w:t xml:space="preserve"> </w:t>
      </w:r>
      <w:r>
        <w:rPr>
          <w:rFonts w:eastAsia="宋体" w:cs="Times New Roman"/>
          <w:sz w:val="21"/>
          <w:szCs w:val="21"/>
        </w:rPr>
        <w:t xml:space="preserve">      </w:t>
      </w:r>
      <w:r>
        <w:rPr>
          <w:rFonts w:hint="eastAsia" w:eastAsia="宋体" w:cs="Times New Roman"/>
          <w:sz w:val="21"/>
          <w:szCs w:val="21"/>
        </w:rPr>
        <w:t>图6</w:t>
      </w:r>
      <w:r>
        <w:rPr>
          <w:rFonts w:eastAsia="宋体" w:cs="Times New Roman"/>
          <w:sz w:val="21"/>
          <w:szCs w:val="21"/>
        </w:rPr>
        <w:t>.2-12</w:t>
      </w:r>
      <w:r>
        <w:rPr>
          <w:rFonts w:hint="eastAsia" w:eastAsia="宋体" w:cs="Times New Roman"/>
          <w:sz w:val="21"/>
          <w:szCs w:val="21"/>
        </w:rPr>
        <w:t>气瓶防倾倒保护措施</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11.厂内机动车辆应满足：在检验有效期内使用，动力系统运转平稳，无漏电、漏水、漏油。灯光电气完好，仪表、照明、信号及各附属安全装置性能良好。轮胎无损伤。制动距离符合要求。</w:t>
      </w:r>
    </w:p>
    <w:p>
      <w:pPr>
        <w:pStyle w:val="2"/>
        <w:ind w:firstLine="480" w:firstLineChars="200"/>
        <w:rPr>
          <w:sz w:val="24"/>
          <w:szCs w:val="24"/>
        </w:rPr>
      </w:pPr>
      <w:bookmarkStart w:id="22" w:name="_Hlk93664391"/>
      <w:r>
        <w:rPr>
          <w:rFonts w:hint="eastAsia"/>
          <w:sz w:val="24"/>
          <w:szCs w:val="24"/>
        </w:rPr>
        <w:t>释义：</w:t>
      </w:r>
    </w:p>
    <w:bookmarkEnd w:id="22"/>
    <w:p>
      <w:pPr>
        <w:pStyle w:val="2"/>
        <w:jc w:val="center"/>
      </w:pPr>
      <w:r>
        <w:rPr>
          <w:sz w:val="24"/>
          <w:szCs w:val="24"/>
        </w:rPr>
        <w:drawing>
          <wp:inline distT="0" distB="0" distL="0" distR="0">
            <wp:extent cx="2807335" cy="1590040"/>
            <wp:effectExtent l="0" t="0" r="0" b="0"/>
            <wp:docPr id="28735" name="图片 2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5" name="图片 2873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824745" cy="1600161"/>
                    </a:xfrm>
                    <a:prstGeom prst="rect">
                      <a:avLst/>
                    </a:prstGeom>
                    <a:noFill/>
                    <a:ln>
                      <a:noFill/>
                    </a:ln>
                  </pic:spPr>
                </pic:pic>
              </a:graphicData>
            </a:graphic>
          </wp:inline>
        </w:drawing>
      </w:r>
    </w:p>
    <w:p>
      <w:pPr>
        <w:adjustRightInd w:val="0"/>
        <w:snapToGrid w:val="0"/>
        <w:spacing w:line="360" w:lineRule="auto"/>
        <w:contextualSpacing/>
        <w:jc w:val="center"/>
        <w:rPr>
          <w:rFonts w:eastAsia="宋体" w:cs="Times New Roman"/>
          <w:sz w:val="21"/>
          <w:szCs w:val="21"/>
        </w:rPr>
      </w:pPr>
      <w:r>
        <w:rPr>
          <w:rFonts w:hint="eastAsia" w:eastAsia="宋体" w:cs="Times New Roman"/>
          <w:sz w:val="21"/>
          <w:szCs w:val="21"/>
        </w:rPr>
        <w:t>图</w:t>
      </w:r>
      <w:r>
        <w:rPr>
          <w:rFonts w:eastAsia="宋体" w:cs="Times New Roman"/>
          <w:sz w:val="21"/>
          <w:szCs w:val="21"/>
        </w:rPr>
        <w:t xml:space="preserve">6.2-13 </w:t>
      </w:r>
      <w:r>
        <w:rPr>
          <w:rFonts w:hint="eastAsia" w:eastAsia="宋体" w:cs="Times New Roman"/>
          <w:sz w:val="21"/>
          <w:szCs w:val="21"/>
        </w:rPr>
        <w:t>叉车示例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12.低压临时线路应满足：有完备的临时接线装置审批手续，不超期使用。使用绝缘良好，并有与负荷匹配的护套软管，敷设符合安全要求。装有总开关控制和漏电保护装置，每分路应装设与负荷匹配的熔断器。临时用电设备PE连接可靠。严禁在有爆炸和火灾危险场所设临时线路。</w:t>
      </w:r>
    </w:p>
    <w:p>
      <w:pPr>
        <w:pStyle w:val="2"/>
        <w:ind w:firstLine="480" w:firstLineChars="200"/>
        <w:rPr>
          <w:sz w:val="24"/>
          <w:szCs w:val="24"/>
        </w:rPr>
      </w:pPr>
      <w:bookmarkStart w:id="23" w:name="_Hlk93664533"/>
      <w:r>
        <w:rPr>
          <w:rFonts w:hint="eastAsia"/>
          <w:sz w:val="24"/>
          <w:szCs w:val="24"/>
        </w:rPr>
        <w:t>释义：</w:t>
      </w:r>
    </w:p>
    <w:bookmarkEnd w:id="23"/>
    <w:p>
      <w:pPr>
        <w:adjustRightInd w:val="0"/>
        <w:snapToGrid w:val="0"/>
        <w:spacing w:line="360" w:lineRule="auto"/>
        <w:contextualSpacing/>
        <w:jc w:val="center"/>
        <w:rPr>
          <w:rFonts w:cs="Times New Roman"/>
        </w:rPr>
      </w:pPr>
      <w:r>
        <w:rPr>
          <w:rFonts w:cs="Times New Roman"/>
        </w:rPr>
        <w:drawing>
          <wp:inline distT="0" distB="0" distL="0" distR="0">
            <wp:extent cx="1799590" cy="1758315"/>
            <wp:effectExtent l="0" t="0" r="0" b="0"/>
            <wp:docPr id="27652" name="图片 2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图片 27652"/>
                    <pic:cNvPicPr>
                      <a:picLocks noChangeAspect="1"/>
                    </pic:cNvPicPr>
                  </pic:nvPicPr>
                  <pic:blipFill>
                    <a:blip r:embed="rId74"/>
                    <a:stretch>
                      <a:fillRect/>
                    </a:stretch>
                  </pic:blipFill>
                  <pic:spPr>
                    <a:xfrm>
                      <a:off x="0" y="0"/>
                      <a:ext cx="1803308" cy="1762575"/>
                    </a:xfrm>
                    <a:prstGeom prst="rect">
                      <a:avLst/>
                    </a:prstGeom>
                  </pic:spPr>
                </pic:pic>
              </a:graphicData>
            </a:graphic>
          </wp:inline>
        </w:drawing>
      </w:r>
      <w:r>
        <w:rPr>
          <w:rFonts w:hint="eastAsia" w:cs="Times New Roman"/>
        </w:rPr>
        <w:t xml:space="preserve"> </w:t>
      </w:r>
      <w:r>
        <w:rPr>
          <w:rFonts w:cs="Times New Roman"/>
        </w:rPr>
        <w:t xml:space="preserve"> </w:t>
      </w:r>
      <w:r>
        <w:rPr>
          <w:rFonts w:cs="Times New Roman"/>
        </w:rPr>
        <w:drawing>
          <wp:inline distT="0" distB="0" distL="0" distR="0">
            <wp:extent cx="1798955" cy="1741170"/>
            <wp:effectExtent l="0" t="0" r="0" b="0"/>
            <wp:docPr id="27653" name="图片 2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图片 27653"/>
                    <pic:cNvPicPr>
                      <a:picLocks noChangeAspect="1"/>
                    </pic:cNvPicPr>
                  </pic:nvPicPr>
                  <pic:blipFill>
                    <a:blip r:embed="rId75"/>
                    <a:stretch>
                      <a:fillRect/>
                    </a:stretch>
                  </pic:blipFill>
                  <pic:spPr>
                    <a:xfrm>
                      <a:off x="0" y="0"/>
                      <a:ext cx="1811854" cy="1753868"/>
                    </a:xfrm>
                    <a:prstGeom prst="rect">
                      <a:avLst/>
                    </a:prstGeom>
                  </pic:spPr>
                </pic:pic>
              </a:graphicData>
            </a:graphic>
          </wp:inline>
        </w:drawing>
      </w:r>
    </w:p>
    <w:p>
      <w:pPr>
        <w:adjustRightInd w:val="0"/>
        <w:snapToGrid w:val="0"/>
        <w:spacing w:line="360" w:lineRule="auto"/>
        <w:ind w:firstLine="315" w:firstLineChars="150"/>
        <w:contextualSpacing/>
        <w:jc w:val="left"/>
        <w:rPr>
          <w:rFonts w:eastAsia="宋体" w:cs="Times New Roman"/>
          <w:sz w:val="21"/>
          <w:szCs w:val="21"/>
        </w:rPr>
      </w:pPr>
      <w:bookmarkStart w:id="24" w:name="_Hlk92032174"/>
      <w:r>
        <w:rPr>
          <w:rFonts w:hint="eastAsia" w:eastAsia="宋体" w:cs="Times New Roman"/>
          <w:sz w:val="21"/>
          <w:szCs w:val="21"/>
        </w:rPr>
        <w:t>图</w:t>
      </w:r>
      <w:r>
        <w:rPr>
          <w:rFonts w:eastAsia="宋体" w:cs="Times New Roman"/>
          <w:sz w:val="21"/>
          <w:szCs w:val="21"/>
        </w:rPr>
        <w:t>6.2-14临时用电审批单</w:t>
      </w:r>
      <w:bookmarkEnd w:id="24"/>
      <w:r>
        <w:rPr>
          <w:rFonts w:eastAsia="宋体" w:cs="Times New Roman"/>
          <w:sz w:val="21"/>
          <w:szCs w:val="21"/>
        </w:rPr>
        <w:t xml:space="preserve">        </w:t>
      </w:r>
      <w:r>
        <w:rPr>
          <w:rFonts w:hint="eastAsia" w:eastAsia="宋体" w:cs="Times New Roman"/>
          <w:sz w:val="21"/>
          <w:szCs w:val="21"/>
        </w:rPr>
        <w:t>图</w:t>
      </w:r>
      <w:r>
        <w:rPr>
          <w:rFonts w:eastAsia="宋体" w:cs="Times New Roman"/>
          <w:sz w:val="21"/>
          <w:szCs w:val="21"/>
        </w:rPr>
        <w:t>6.2-15临时用电登记表</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1</w:t>
      </w:r>
      <w:r>
        <w:rPr>
          <w:rFonts w:eastAsia="宋体" w:cs="Times New Roman"/>
          <w:sz w:val="24"/>
        </w:rPr>
        <w:t>3.低压电气线路（固定线路）应满足：定期进行电缆线路的预防性实验记录。线路的安全距离符合要求；线路的导电性能和机械强度符合要求；线路的保护装置齐全可靠；线路绝缘、屏护良好，无发热和渗漏油现象；电杆直立、拉线、横担瓷瓶及金属构架等符合安全要求；线路相序、相色正确、标志齐全、清晰；线路排列整齐、无影响线路安全的障碍物。</w:t>
      </w:r>
    </w:p>
    <w:p>
      <w:pPr>
        <w:pStyle w:val="2"/>
        <w:ind w:left="420"/>
        <w:rPr>
          <w:sz w:val="24"/>
          <w:szCs w:val="24"/>
        </w:rPr>
      </w:pPr>
      <w:r>
        <w:rPr>
          <w:rFonts w:hint="eastAsia"/>
          <w:sz w:val="24"/>
          <w:szCs w:val="24"/>
        </w:rPr>
        <w:t>释义：</w:t>
      </w:r>
    </w:p>
    <w:p>
      <w:pPr>
        <w:adjustRightInd w:val="0"/>
        <w:snapToGrid w:val="0"/>
        <w:spacing w:line="360" w:lineRule="auto"/>
        <w:contextualSpacing/>
        <w:jc w:val="left"/>
        <w:rPr>
          <w:rFonts w:eastAsia="宋体" w:cs="Times New Roman"/>
          <w:sz w:val="24"/>
        </w:rPr>
      </w:pPr>
      <w:r>
        <w:rPr>
          <w:rFonts w:eastAsia="宋体" w:cs="Times New Roman"/>
        </w:rPr>
        <w:drawing>
          <wp:inline distT="0" distB="0" distL="0" distR="0">
            <wp:extent cx="1799590" cy="1556385"/>
            <wp:effectExtent l="0" t="0" r="0" b="5715"/>
            <wp:docPr id="27654" name="图片 2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 name="图片 2765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800000" cy="1556589"/>
                    </a:xfrm>
                    <a:prstGeom prst="rect">
                      <a:avLst/>
                    </a:prstGeom>
                    <a:noFill/>
                    <a:ln>
                      <a:noFill/>
                    </a:ln>
                  </pic:spPr>
                </pic:pic>
              </a:graphicData>
            </a:graphic>
          </wp:inline>
        </w:drawing>
      </w:r>
      <w:r>
        <w:rPr>
          <w:rFonts w:eastAsia="宋体" w:cs="Times New Roman"/>
          <w:sz w:val="24"/>
        </w:rPr>
        <w:t xml:space="preserve">   </w:t>
      </w:r>
      <w:r>
        <w:rPr>
          <w:rFonts w:cs="Times New Roman"/>
        </w:rPr>
        <w:drawing>
          <wp:inline distT="0" distB="0" distL="0" distR="0">
            <wp:extent cx="1798955" cy="1542415"/>
            <wp:effectExtent l="0" t="0" r="0" b="635"/>
            <wp:docPr id="27656" name="图片 2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 name="图片 27656"/>
                    <pic:cNvPicPr>
                      <a:picLocks noChangeAspect="1"/>
                    </pic:cNvPicPr>
                  </pic:nvPicPr>
                  <pic:blipFill>
                    <a:blip r:embed="rId77"/>
                    <a:stretch>
                      <a:fillRect/>
                    </a:stretch>
                  </pic:blipFill>
                  <pic:spPr>
                    <a:xfrm>
                      <a:off x="0" y="0"/>
                      <a:ext cx="1808673" cy="1550958"/>
                    </a:xfrm>
                    <a:prstGeom prst="rect">
                      <a:avLst/>
                    </a:prstGeom>
                  </pic:spPr>
                </pic:pic>
              </a:graphicData>
            </a:graphic>
          </wp:inline>
        </w:drawing>
      </w:r>
    </w:p>
    <w:p>
      <w:pPr>
        <w:adjustRightInd w:val="0"/>
        <w:snapToGrid w:val="0"/>
        <w:spacing w:line="360" w:lineRule="auto"/>
        <w:contextualSpacing/>
        <w:jc w:val="left"/>
        <w:rPr>
          <w:rFonts w:eastAsia="宋体" w:cs="Times New Roman"/>
          <w:sz w:val="21"/>
          <w:szCs w:val="21"/>
        </w:rPr>
      </w:pPr>
      <w:r>
        <w:rPr>
          <w:rFonts w:hint="eastAsia" w:eastAsia="宋体" w:cs="Times New Roman"/>
          <w:sz w:val="21"/>
          <w:szCs w:val="21"/>
        </w:rPr>
        <w:t>图</w:t>
      </w:r>
      <w:r>
        <w:rPr>
          <w:rFonts w:eastAsia="宋体" w:cs="Times New Roman"/>
          <w:sz w:val="21"/>
          <w:szCs w:val="21"/>
        </w:rPr>
        <w:t xml:space="preserve">6.2-16低压固定线路穿管保护    </w:t>
      </w:r>
      <w:r>
        <w:rPr>
          <w:rFonts w:hint="eastAsia" w:eastAsia="宋体" w:cs="Times New Roman"/>
          <w:sz w:val="21"/>
          <w:szCs w:val="21"/>
        </w:rPr>
        <w:t>图</w:t>
      </w:r>
      <w:r>
        <w:rPr>
          <w:rFonts w:eastAsia="宋体" w:cs="Times New Roman"/>
          <w:sz w:val="21"/>
          <w:szCs w:val="21"/>
        </w:rPr>
        <w:t>6.2-17低压固定线路接线</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14.电网接地系统应满足：电源系统接地制式的运行应满足其结构的整体性，独立性的安全要求；各接地装置的电阻检测合格；TN系统重复接地布设合理；接地装置的连接必须保证电气接触可靠；有足够的机械强度，并能防腐蚀，防损伤或者有附加保护措施；接地装置编号、标识明晰，定期检测报告有效，资料完整。</w:t>
      </w:r>
    </w:p>
    <w:p>
      <w:pPr>
        <w:adjustRightInd w:val="0"/>
        <w:snapToGrid w:val="0"/>
        <w:spacing w:line="360" w:lineRule="auto"/>
        <w:contextualSpacing/>
        <w:jc w:val="left"/>
        <w:rPr>
          <w:rFonts w:eastAsia="宋体" w:cs="Times New Roman"/>
          <w:sz w:val="24"/>
        </w:rPr>
      </w:pPr>
      <w:r>
        <w:rPr>
          <w:rFonts w:cs="Times New Roman"/>
        </w:rPr>
        <w:drawing>
          <wp:inline distT="0" distB="0" distL="0" distR="0">
            <wp:extent cx="1799590" cy="107505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8"/>
                    <a:stretch>
                      <a:fillRect/>
                    </a:stretch>
                  </pic:blipFill>
                  <pic:spPr>
                    <a:xfrm>
                      <a:off x="0" y="0"/>
                      <a:ext cx="1800000" cy="1075061"/>
                    </a:xfrm>
                    <a:prstGeom prst="rect">
                      <a:avLst/>
                    </a:prstGeom>
                  </pic:spPr>
                </pic:pic>
              </a:graphicData>
            </a:graphic>
          </wp:inline>
        </w:drawing>
      </w:r>
      <w:r>
        <w:rPr>
          <w:rFonts w:eastAsia="宋体" w:cs="Times New Roman"/>
          <w:sz w:val="24"/>
        </w:rPr>
        <w:t xml:space="preserve">   </w:t>
      </w:r>
      <w:r>
        <w:rPr>
          <w:rFonts w:cs="Times New Roman"/>
        </w:rPr>
        <w:drawing>
          <wp:inline distT="0" distB="0" distL="0" distR="0">
            <wp:extent cx="1798955" cy="1087120"/>
            <wp:effectExtent l="0" t="0" r="0" b="0"/>
            <wp:docPr id="28673" name="图片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3" name="图片 28673"/>
                    <pic:cNvPicPr>
                      <a:picLocks noChangeAspect="1"/>
                    </pic:cNvPicPr>
                  </pic:nvPicPr>
                  <pic:blipFill>
                    <a:blip r:embed="rId79"/>
                    <a:stretch>
                      <a:fillRect/>
                    </a:stretch>
                  </pic:blipFill>
                  <pic:spPr>
                    <a:xfrm>
                      <a:off x="0" y="0"/>
                      <a:ext cx="1805842" cy="1091290"/>
                    </a:xfrm>
                    <a:prstGeom prst="rect">
                      <a:avLst/>
                    </a:prstGeom>
                  </pic:spPr>
                </pic:pic>
              </a:graphicData>
            </a:graphic>
          </wp:inline>
        </w:drawing>
      </w:r>
    </w:p>
    <w:p>
      <w:pPr>
        <w:adjustRightInd w:val="0"/>
        <w:snapToGrid w:val="0"/>
        <w:spacing w:line="360" w:lineRule="auto"/>
        <w:ind w:firstLine="210" w:firstLineChars="100"/>
        <w:contextualSpacing/>
        <w:jc w:val="left"/>
        <w:rPr>
          <w:rFonts w:eastAsia="宋体" w:cs="Times New Roman"/>
          <w:sz w:val="21"/>
          <w:szCs w:val="21"/>
        </w:rPr>
      </w:pPr>
      <w:r>
        <w:rPr>
          <w:rFonts w:hint="eastAsia" w:eastAsia="宋体" w:cs="Times New Roman"/>
          <w:sz w:val="21"/>
          <w:szCs w:val="21"/>
        </w:rPr>
        <w:t>图6</w:t>
      </w:r>
      <w:r>
        <w:rPr>
          <w:rFonts w:eastAsia="宋体" w:cs="Times New Roman"/>
          <w:sz w:val="21"/>
          <w:szCs w:val="21"/>
        </w:rPr>
        <w:t>.2-18 TN-S接地系统</w:t>
      </w:r>
      <w:r>
        <w:rPr>
          <w:rFonts w:eastAsia="宋体" w:cs="Times New Roman"/>
          <w:szCs w:val="21"/>
        </w:rPr>
        <w:t xml:space="preserve">      </w:t>
      </w:r>
      <w:r>
        <w:rPr>
          <w:rFonts w:hint="eastAsia" w:eastAsia="宋体" w:cs="Times New Roman"/>
          <w:sz w:val="21"/>
          <w:szCs w:val="21"/>
        </w:rPr>
        <w:t>图6</w:t>
      </w:r>
      <w:r>
        <w:rPr>
          <w:rFonts w:eastAsia="宋体" w:cs="Times New Roman"/>
          <w:sz w:val="21"/>
          <w:szCs w:val="21"/>
        </w:rPr>
        <w:t>.2-19 TN-C-S接地系统</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15.金属切削机床应满足：防护罩、盖、栏应完备可靠；防止夹具、卡具松动或脱落的装置完好；各种限位、联锁、操作手柄要求灵敏可靠；机床PE连接规范可靠；机床照明符合要求；机床电器箱，柜与线路符合要求；未加罩旋转部位的楔、销、键，原则上不许突出；备有清除切屑的专用工具。</w:t>
      </w:r>
    </w:p>
    <w:p>
      <w:pPr>
        <w:pStyle w:val="2"/>
        <w:ind w:firstLine="480" w:firstLineChars="200"/>
        <w:rPr>
          <w:sz w:val="24"/>
          <w:szCs w:val="24"/>
        </w:rPr>
      </w:pPr>
      <w:r>
        <w:rPr>
          <w:rFonts w:hint="eastAsia"/>
          <w:sz w:val="24"/>
          <w:szCs w:val="24"/>
        </w:rPr>
        <w:t>释义：</w:t>
      </w:r>
    </w:p>
    <w:p>
      <w:pPr>
        <w:adjustRightInd w:val="0"/>
        <w:snapToGrid w:val="0"/>
        <w:spacing w:line="360" w:lineRule="auto"/>
        <w:contextualSpacing/>
        <w:jc w:val="center"/>
        <w:rPr>
          <w:rFonts w:eastAsia="宋体" w:cs="Times New Roman"/>
          <w:sz w:val="24"/>
        </w:rPr>
      </w:pPr>
      <w:r>
        <w:rPr>
          <w:rFonts w:cs="Times New Roman"/>
        </w:rPr>
        <w:drawing>
          <wp:inline distT="0" distB="0" distL="0" distR="0">
            <wp:extent cx="2175510" cy="1574800"/>
            <wp:effectExtent l="0" t="0" r="0" b="6350"/>
            <wp:docPr id="27659" name="图片 2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9" name="图片 27659"/>
                    <pic:cNvPicPr>
                      <a:picLocks noChangeAspect="1"/>
                    </pic:cNvPicPr>
                  </pic:nvPicPr>
                  <pic:blipFill>
                    <a:blip r:embed="rId80"/>
                    <a:stretch>
                      <a:fillRect/>
                    </a:stretch>
                  </pic:blipFill>
                  <pic:spPr>
                    <a:xfrm>
                      <a:off x="0" y="0"/>
                      <a:ext cx="2182278" cy="1579619"/>
                    </a:xfrm>
                    <a:prstGeom prst="rect">
                      <a:avLst/>
                    </a:prstGeom>
                  </pic:spPr>
                </pic:pic>
              </a:graphicData>
            </a:graphic>
          </wp:inline>
        </w:drawing>
      </w:r>
    </w:p>
    <w:p>
      <w:pPr>
        <w:adjustRightInd w:val="0"/>
        <w:snapToGrid w:val="0"/>
        <w:spacing w:line="360" w:lineRule="auto"/>
        <w:contextualSpacing/>
        <w:jc w:val="center"/>
        <w:rPr>
          <w:rFonts w:eastAsia="宋体" w:cs="Times New Roman"/>
          <w:sz w:val="21"/>
          <w:szCs w:val="21"/>
        </w:rPr>
      </w:pPr>
      <w:r>
        <w:rPr>
          <w:rFonts w:hint="eastAsia" w:eastAsia="宋体" w:cs="Times New Roman"/>
          <w:sz w:val="21"/>
          <w:szCs w:val="21"/>
        </w:rPr>
        <w:t>图6</w:t>
      </w:r>
      <w:r>
        <w:rPr>
          <w:rFonts w:eastAsia="宋体" w:cs="Times New Roman"/>
          <w:sz w:val="21"/>
          <w:szCs w:val="21"/>
        </w:rPr>
        <w:t>.2-20数控中心设置门连锁</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16.冲、剪、压机械应满足：离合器动作灵敏、可靠，无连冲；制动器工作可靠；紧急停止按钮灵敏、醒目，在规定位置安装有效；传动外露部分的防护装置齐全可靠；脚踏开关应有完备的防护罩且防滑；机床PE可靠，电气控制有效；安全防护装置可靠有效，使用专用工具符合安全要求；剪板机等压料脚应平整，危险部位有可靠的防护。</w:t>
      </w:r>
    </w:p>
    <w:p>
      <w:pPr>
        <w:pStyle w:val="2"/>
        <w:ind w:firstLine="480" w:firstLineChars="200"/>
        <w:rPr>
          <w:sz w:val="24"/>
          <w:szCs w:val="24"/>
        </w:rPr>
      </w:pPr>
      <w:r>
        <w:rPr>
          <w:rFonts w:hint="eastAsia"/>
          <w:sz w:val="24"/>
          <w:szCs w:val="24"/>
        </w:rPr>
        <w:t>释义：</w:t>
      </w:r>
    </w:p>
    <w:p>
      <w:pPr>
        <w:adjustRightInd w:val="0"/>
        <w:snapToGrid w:val="0"/>
        <w:spacing w:line="360" w:lineRule="auto"/>
        <w:contextualSpacing/>
        <w:jc w:val="left"/>
        <w:rPr>
          <w:rFonts w:eastAsia="宋体" w:cs="Times New Roman"/>
          <w:sz w:val="24"/>
        </w:rPr>
      </w:pPr>
      <w:r>
        <w:rPr>
          <w:rFonts w:cs="Times New Roman"/>
        </w:rPr>
        <w:drawing>
          <wp:inline distT="0" distB="0" distL="0" distR="0">
            <wp:extent cx="1799590" cy="1969135"/>
            <wp:effectExtent l="0" t="0" r="0" b="0"/>
            <wp:docPr id="27660" name="图片 2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0" name="图片 27660"/>
                    <pic:cNvPicPr>
                      <a:picLocks noChangeAspect="1"/>
                    </pic:cNvPicPr>
                  </pic:nvPicPr>
                  <pic:blipFill>
                    <a:blip r:embed="rId81"/>
                    <a:stretch>
                      <a:fillRect/>
                    </a:stretch>
                  </pic:blipFill>
                  <pic:spPr>
                    <a:xfrm>
                      <a:off x="0" y="0"/>
                      <a:ext cx="1800000" cy="1969200"/>
                    </a:xfrm>
                    <a:prstGeom prst="rect">
                      <a:avLst/>
                    </a:prstGeom>
                  </pic:spPr>
                </pic:pic>
              </a:graphicData>
            </a:graphic>
          </wp:inline>
        </w:drawing>
      </w:r>
      <w:r>
        <w:rPr>
          <w:rFonts w:eastAsia="宋体" w:cs="Times New Roman"/>
          <w:sz w:val="24"/>
        </w:rPr>
        <w:t xml:space="preserve">  </w:t>
      </w:r>
      <w:r>
        <w:rPr>
          <w:rFonts w:cs="Times New Roman"/>
        </w:rPr>
        <w:drawing>
          <wp:inline distT="0" distB="0" distL="0" distR="0">
            <wp:extent cx="1798955" cy="1955165"/>
            <wp:effectExtent l="0" t="0" r="0" b="6985"/>
            <wp:docPr id="27661" name="图片 2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1" name="图片 27661"/>
                    <pic:cNvPicPr>
                      <a:picLocks noChangeAspect="1"/>
                    </pic:cNvPicPr>
                  </pic:nvPicPr>
                  <pic:blipFill>
                    <a:blip r:embed="rId82"/>
                    <a:stretch>
                      <a:fillRect/>
                    </a:stretch>
                  </pic:blipFill>
                  <pic:spPr>
                    <a:xfrm>
                      <a:off x="0" y="0"/>
                      <a:ext cx="1804402" cy="1961145"/>
                    </a:xfrm>
                    <a:prstGeom prst="rect">
                      <a:avLst/>
                    </a:prstGeom>
                  </pic:spPr>
                </pic:pic>
              </a:graphicData>
            </a:graphic>
          </wp:inline>
        </w:drawing>
      </w:r>
    </w:p>
    <w:p>
      <w:pPr>
        <w:adjustRightInd w:val="0"/>
        <w:snapToGrid w:val="0"/>
        <w:spacing w:line="360" w:lineRule="auto"/>
        <w:contextualSpacing/>
        <w:rPr>
          <w:rFonts w:eastAsia="宋体" w:cs="Times New Roman"/>
          <w:sz w:val="21"/>
          <w:szCs w:val="21"/>
        </w:rPr>
      </w:pPr>
      <w:r>
        <w:rPr>
          <w:rFonts w:hint="eastAsia" w:eastAsia="宋体" w:cs="Times New Roman"/>
          <w:sz w:val="21"/>
          <w:szCs w:val="21"/>
        </w:rPr>
        <w:t>图6</w:t>
      </w:r>
      <w:r>
        <w:rPr>
          <w:rFonts w:eastAsia="宋体" w:cs="Times New Roman"/>
          <w:sz w:val="21"/>
          <w:szCs w:val="21"/>
        </w:rPr>
        <w:t xml:space="preserve">.2-21冲床设置光栅保护     </w:t>
      </w:r>
      <w:r>
        <w:rPr>
          <w:rFonts w:hint="eastAsia" w:eastAsia="宋体" w:cs="Times New Roman"/>
          <w:sz w:val="21"/>
          <w:szCs w:val="21"/>
        </w:rPr>
        <w:t>图6</w:t>
      </w:r>
      <w:r>
        <w:rPr>
          <w:rFonts w:eastAsia="宋体" w:cs="Times New Roman"/>
          <w:sz w:val="21"/>
          <w:szCs w:val="21"/>
        </w:rPr>
        <w:t>.2-22剪板机设置固定式防护</w:t>
      </w:r>
    </w:p>
    <w:p>
      <w:pPr>
        <w:wordWrap w:val="0"/>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17.砂轮机应满足:安装地点应保证人员和设备的安全；砂轮机的防护罩应符合国家标准；档屑板应有足够的强度且可调；砂轮无裂纹无破损；托架安装牢固可调；法兰盘与软垫应符合安全要求；砂轮机运行必须平稳可靠，砂轮磨损量不超标，且在有效期内使用；PE连接可靠，控制电器符合规定。</w:t>
      </w:r>
    </w:p>
    <w:p>
      <w:pPr>
        <w:pStyle w:val="2"/>
        <w:ind w:firstLine="480" w:firstLineChars="200"/>
        <w:rPr>
          <w:sz w:val="24"/>
          <w:szCs w:val="24"/>
        </w:rPr>
      </w:pPr>
      <w:r>
        <w:rPr>
          <w:rFonts w:hint="eastAsia"/>
          <w:sz w:val="24"/>
          <w:szCs w:val="24"/>
        </w:rPr>
        <w:t>释义：</w:t>
      </w:r>
    </w:p>
    <w:p>
      <w:pPr>
        <w:adjustRightInd w:val="0"/>
        <w:snapToGrid w:val="0"/>
        <w:spacing w:line="360" w:lineRule="auto"/>
        <w:contextualSpacing/>
        <w:jc w:val="center"/>
        <w:rPr>
          <w:rFonts w:eastAsia="宋体" w:cs="Times New Roman"/>
          <w:sz w:val="24"/>
        </w:rPr>
      </w:pPr>
      <w:r>
        <w:rPr>
          <w:rFonts w:cs="Times New Roman"/>
        </w:rPr>
        <w:drawing>
          <wp:inline distT="0" distB="0" distL="0" distR="0">
            <wp:extent cx="1799590" cy="2001520"/>
            <wp:effectExtent l="0" t="0" r="0" b="0"/>
            <wp:docPr id="27662" name="图片 2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2" name="图片 27662"/>
                    <pic:cNvPicPr>
                      <a:picLocks noChangeAspect="1"/>
                    </pic:cNvPicPr>
                  </pic:nvPicPr>
                  <pic:blipFill>
                    <a:blip r:embed="rId83"/>
                    <a:stretch>
                      <a:fillRect/>
                    </a:stretch>
                  </pic:blipFill>
                  <pic:spPr>
                    <a:xfrm>
                      <a:off x="0" y="0"/>
                      <a:ext cx="1800000" cy="2001600"/>
                    </a:xfrm>
                    <a:prstGeom prst="rect">
                      <a:avLst/>
                    </a:prstGeom>
                  </pic:spPr>
                </pic:pic>
              </a:graphicData>
            </a:graphic>
          </wp:inline>
        </w:drawing>
      </w:r>
      <w:r>
        <w:rPr>
          <w:rFonts w:hint="eastAsia" w:eastAsia="宋体" w:cs="Times New Roman"/>
          <w:sz w:val="24"/>
        </w:rPr>
        <w:t xml:space="preserve"> </w:t>
      </w:r>
      <w:r>
        <w:rPr>
          <w:rFonts w:eastAsia="宋体" w:cs="Times New Roman"/>
          <w:sz w:val="24"/>
        </w:rPr>
        <w:t xml:space="preserve">  </w:t>
      </w:r>
      <w:r>
        <w:rPr>
          <w:rFonts w:cs="Times New Roman"/>
        </w:rPr>
        <w:drawing>
          <wp:inline distT="0" distB="0" distL="0" distR="0">
            <wp:extent cx="1798955" cy="1990725"/>
            <wp:effectExtent l="0" t="0" r="0" b="0"/>
            <wp:docPr id="27663" name="图片 2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3" name="图片 27663"/>
                    <pic:cNvPicPr>
                      <a:picLocks noChangeAspect="1"/>
                    </pic:cNvPicPr>
                  </pic:nvPicPr>
                  <pic:blipFill>
                    <a:blip r:embed="rId84"/>
                    <a:stretch>
                      <a:fillRect/>
                    </a:stretch>
                  </pic:blipFill>
                  <pic:spPr>
                    <a:xfrm>
                      <a:off x="0" y="0"/>
                      <a:ext cx="1809313" cy="2001972"/>
                    </a:xfrm>
                    <a:prstGeom prst="rect">
                      <a:avLst/>
                    </a:prstGeom>
                  </pic:spPr>
                </pic:pic>
              </a:graphicData>
            </a:graphic>
          </wp:inline>
        </w:drawing>
      </w:r>
    </w:p>
    <w:p>
      <w:pPr>
        <w:adjustRightInd w:val="0"/>
        <w:snapToGrid w:val="0"/>
        <w:spacing w:line="360" w:lineRule="auto"/>
        <w:ind w:firstLine="105" w:firstLineChars="50"/>
        <w:contextualSpacing/>
        <w:jc w:val="left"/>
        <w:rPr>
          <w:rFonts w:eastAsia="宋体" w:cs="Times New Roman"/>
          <w:sz w:val="21"/>
          <w:szCs w:val="21"/>
        </w:rPr>
      </w:pPr>
      <w:r>
        <w:rPr>
          <w:rFonts w:hint="eastAsia" w:eastAsia="宋体" w:cs="Times New Roman"/>
          <w:sz w:val="21"/>
          <w:szCs w:val="21"/>
        </w:rPr>
        <w:t>图6</w:t>
      </w:r>
      <w:r>
        <w:rPr>
          <w:rFonts w:eastAsia="宋体" w:cs="Times New Roman"/>
          <w:sz w:val="21"/>
          <w:szCs w:val="21"/>
        </w:rPr>
        <w:t xml:space="preserve">.2-23砂轮机防护罩及托架    </w:t>
      </w:r>
      <w:r>
        <w:rPr>
          <w:rFonts w:hint="eastAsia" w:eastAsia="宋体" w:cs="Times New Roman"/>
          <w:sz w:val="21"/>
          <w:szCs w:val="21"/>
        </w:rPr>
        <w:t>图6</w:t>
      </w:r>
      <w:r>
        <w:rPr>
          <w:rFonts w:eastAsia="宋体" w:cs="Times New Roman"/>
          <w:sz w:val="21"/>
          <w:szCs w:val="21"/>
        </w:rPr>
        <w:t>.2-24带除尘装置的砂轮机</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18.工业机器人应满足：装有限位装置，在额定负荷、最高速度和最大伸长量时使机器停止；采用手动操作时，运动时速应设定在250毫米/秒以下；当进行运送工作时，紧急开关启动后，立即停止运行；作业区域有隔离的安全护罩，覆盖全部危险区域；防护罩无锐边和凸出部分；护罩应有足够强度，能抵抗机器人最大突击能量；防护罩应永久固定，只有借助工具方可拆卸；防护罩的舱门应有机械式安全锁或门禁装置，钥匙或专用工具应由专业人员保管；危险区域内装有紧急停止开关，并符合相关标准。</w:t>
      </w:r>
    </w:p>
    <w:p>
      <w:pPr>
        <w:pStyle w:val="2"/>
        <w:ind w:firstLine="480" w:firstLineChars="200"/>
        <w:rPr>
          <w:sz w:val="24"/>
          <w:szCs w:val="24"/>
        </w:rPr>
      </w:pPr>
    </w:p>
    <w:p>
      <w:pPr>
        <w:pStyle w:val="2"/>
        <w:ind w:firstLine="480" w:firstLineChars="200"/>
        <w:rPr>
          <w:sz w:val="24"/>
          <w:szCs w:val="24"/>
        </w:rPr>
      </w:pPr>
      <w:r>
        <w:rPr>
          <w:rFonts w:hint="eastAsia"/>
          <w:sz w:val="24"/>
          <w:szCs w:val="24"/>
        </w:rPr>
        <w:t>释义：</w:t>
      </w:r>
    </w:p>
    <w:p>
      <w:pPr>
        <w:adjustRightInd w:val="0"/>
        <w:snapToGrid w:val="0"/>
        <w:spacing w:line="360" w:lineRule="auto"/>
        <w:contextualSpacing/>
        <w:jc w:val="left"/>
        <w:rPr>
          <w:rFonts w:eastAsia="宋体" w:cs="Times New Roman"/>
          <w:sz w:val="24"/>
        </w:rPr>
      </w:pPr>
      <w:r>
        <w:rPr>
          <w:rFonts w:cs="Times New Roman"/>
        </w:rPr>
        <w:drawing>
          <wp:inline distT="0" distB="0" distL="0" distR="0">
            <wp:extent cx="1798955" cy="1603375"/>
            <wp:effectExtent l="0" t="0" r="0" b="0"/>
            <wp:docPr id="27665" name="图片 2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5" name="图片 27665"/>
                    <pic:cNvPicPr>
                      <a:picLocks noChangeAspect="1"/>
                    </pic:cNvPicPr>
                  </pic:nvPicPr>
                  <pic:blipFill>
                    <a:blip r:embed="rId85"/>
                    <a:srcRect t="-1" b="11352"/>
                    <a:stretch>
                      <a:fillRect/>
                    </a:stretch>
                  </pic:blipFill>
                  <pic:spPr>
                    <a:xfrm>
                      <a:off x="0" y="0"/>
                      <a:ext cx="1800000" cy="1604800"/>
                    </a:xfrm>
                    <a:prstGeom prst="rect">
                      <a:avLst/>
                    </a:prstGeom>
                    <a:ln>
                      <a:noFill/>
                    </a:ln>
                  </pic:spPr>
                </pic:pic>
              </a:graphicData>
            </a:graphic>
          </wp:inline>
        </w:drawing>
      </w:r>
      <w:r>
        <w:rPr>
          <w:rFonts w:cs="Times New Roman"/>
        </w:rPr>
        <w:t xml:space="preserve">  </w:t>
      </w:r>
      <w:r>
        <w:rPr>
          <w:rFonts w:cs="Times New Roman"/>
        </w:rPr>
        <w:drawing>
          <wp:inline distT="0" distB="0" distL="0" distR="0">
            <wp:extent cx="1799590" cy="1593850"/>
            <wp:effectExtent l="0" t="0" r="0" b="6350"/>
            <wp:docPr id="27664" name="图片 2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4" name="图片 27664"/>
                    <pic:cNvPicPr>
                      <a:picLocks noChangeAspect="1"/>
                    </pic:cNvPicPr>
                  </pic:nvPicPr>
                  <pic:blipFill>
                    <a:blip r:embed="rId86"/>
                    <a:stretch>
                      <a:fillRect/>
                    </a:stretch>
                  </pic:blipFill>
                  <pic:spPr>
                    <a:xfrm>
                      <a:off x="0" y="0"/>
                      <a:ext cx="1800000" cy="1593925"/>
                    </a:xfrm>
                    <a:prstGeom prst="rect">
                      <a:avLst/>
                    </a:prstGeom>
                  </pic:spPr>
                </pic:pic>
              </a:graphicData>
            </a:graphic>
          </wp:inline>
        </w:drawing>
      </w:r>
    </w:p>
    <w:p>
      <w:pPr>
        <w:adjustRightInd w:val="0"/>
        <w:snapToGrid w:val="0"/>
        <w:spacing w:line="360" w:lineRule="auto"/>
        <w:contextualSpacing/>
        <w:jc w:val="left"/>
        <w:rPr>
          <w:rFonts w:eastAsia="宋体" w:cs="Times New Roman"/>
          <w:sz w:val="21"/>
          <w:szCs w:val="21"/>
        </w:rPr>
      </w:pPr>
      <w:r>
        <w:rPr>
          <w:rFonts w:hint="eastAsia" w:eastAsia="宋体" w:cs="Times New Roman"/>
          <w:sz w:val="21"/>
          <w:szCs w:val="21"/>
        </w:rPr>
        <w:t>图6</w:t>
      </w:r>
      <w:r>
        <w:rPr>
          <w:rFonts w:eastAsia="宋体" w:cs="Times New Roman"/>
          <w:sz w:val="21"/>
          <w:szCs w:val="21"/>
        </w:rPr>
        <w:t>.2</w:t>
      </w:r>
      <w:r>
        <w:rPr>
          <w:rFonts w:hint="eastAsia" w:eastAsia="宋体" w:cs="Times New Roman"/>
          <w:sz w:val="21"/>
          <w:szCs w:val="21"/>
        </w:rPr>
        <w:t>-</w:t>
      </w:r>
      <w:r>
        <w:rPr>
          <w:rFonts w:eastAsia="宋体" w:cs="Times New Roman"/>
          <w:sz w:val="21"/>
          <w:szCs w:val="21"/>
        </w:rPr>
        <w:t xml:space="preserve">25周围设置固定防护图   </w:t>
      </w:r>
      <w:r>
        <w:rPr>
          <w:rFonts w:hint="eastAsia" w:eastAsia="宋体" w:cs="Times New Roman"/>
          <w:sz w:val="21"/>
          <w:szCs w:val="21"/>
        </w:rPr>
        <w:t>图6</w:t>
      </w:r>
      <w:r>
        <w:rPr>
          <w:rFonts w:eastAsia="宋体" w:cs="Times New Roman"/>
          <w:sz w:val="21"/>
          <w:szCs w:val="21"/>
        </w:rPr>
        <w:t>.2-26固定防护上设置门连锁</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19.移动电气设备应满足：定期对绝缘电阻进行检测，绝缘电阻应小于1兆欧，电源线应采用三芯或四芯多股橡胶电缆，无接头，不得跨越通道，绝缘层无破损，长度不得超过5米，PE线连接可靠，防护罩等完好，无松动，开关可靠、灵敏，与负载匹配。</w:t>
      </w:r>
    </w:p>
    <w:p>
      <w:pPr>
        <w:pStyle w:val="2"/>
        <w:ind w:firstLine="480" w:firstLineChars="200"/>
        <w:rPr>
          <w:sz w:val="24"/>
          <w:szCs w:val="24"/>
        </w:rPr>
      </w:pPr>
      <w:r>
        <w:rPr>
          <w:rFonts w:hint="eastAsia"/>
          <w:sz w:val="24"/>
          <w:szCs w:val="24"/>
        </w:rPr>
        <w:t>释义：</w:t>
      </w:r>
    </w:p>
    <w:p>
      <w:pPr>
        <w:adjustRightInd w:val="0"/>
        <w:snapToGrid w:val="0"/>
        <w:spacing w:line="360" w:lineRule="auto"/>
        <w:contextualSpacing/>
        <w:jc w:val="center"/>
        <w:rPr>
          <w:rFonts w:eastAsia="宋体" w:cs="Times New Roman"/>
          <w:sz w:val="24"/>
        </w:rPr>
      </w:pPr>
      <w:r>
        <w:rPr>
          <w:rFonts w:cs="Times New Roman"/>
        </w:rPr>
        <w:drawing>
          <wp:inline distT="0" distB="0" distL="0" distR="0">
            <wp:extent cx="1797685" cy="1582420"/>
            <wp:effectExtent l="0" t="0" r="0" b="0"/>
            <wp:docPr id="27666" name="图片 2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6" name="图片 27666"/>
                    <pic:cNvPicPr>
                      <a:picLocks noChangeAspect="1"/>
                    </pic:cNvPicPr>
                  </pic:nvPicPr>
                  <pic:blipFill>
                    <a:blip r:embed="rId87"/>
                    <a:stretch>
                      <a:fillRect/>
                    </a:stretch>
                  </pic:blipFill>
                  <pic:spPr>
                    <a:xfrm>
                      <a:off x="0" y="0"/>
                      <a:ext cx="1809416" cy="1592821"/>
                    </a:xfrm>
                    <a:prstGeom prst="rect">
                      <a:avLst/>
                    </a:prstGeom>
                  </pic:spPr>
                </pic:pic>
              </a:graphicData>
            </a:graphic>
          </wp:inline>
        </w:drawing>
      </w:r>
    </w:p>
    <w:p>
      <w:pPr>
        <w:adjustRightInd w:val="0"/>
        <w:snapToGrid w:val="0"/>
        <w:spacing w:line="360" w:lineRule="auto"/>
        <w:ind w:firstLine="420" w:firstLineChars="200"/>
        <w:contextualSpacing/>
        <w:jc w:val="center"/>
        <w:rPr>
          <w:rFonts w:eastAsia="宋体" w:cs="Times New Roman"/>
          <w:sz w:val="24"/>
        </w:rPr>
      </w:pPr>
      <w:r>
        <w:rPr>
          <w:rFonts w:hint="eastAsia" w:eastAsia="宋体" w:cs="Times New Roman"/>
          <w:sz w:val="21"/>
          <w:szCs w:val="21"/>
        </w:rPr>
        <w:t>图6</w:t>
      </w:r>
      <w:r>
        <w:rPr>
          <w:rFonts w:eastAsia="宋体" w:cs="Times New Roman"/>
          <w:sz w:val="21"/>
          <w:szCs w:val="21"/>
        </w:rPr>
        <w:t>.2-27绝缘检测记录表</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20.电气设备(特别是手持式电动工具)的金属外壳和电线的金属保护管，应有良好的保护接零(或接地)装置。</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21.传动部位应按照如下情况，设置防护罩、盖或栏：</w:t>
      </w:r>
    </w:p>
    <w:p>
      <w:pPr>
        <w:adjustRightInd w:val="0"/>
        <w:snapToGrid w:val="0"/>
        <w:spacing w:line="360" w:lineRule="auto"/>
        <w:ind w:firstLine="600" w:firstLineChars="250"/>
        <w:contextualSpacing/>
        <w:jc w:val="left"/>
        <w:rPr>
          <w:rFonts w:eastAsia="宋体" w:cs="Times New Roman"/>
          <w:sz w:val="24"/>
        </w:rPr>
      </w:pPr>
      <w:r>
        <w:rPr>
          <w:rFonts w:eastAsia="宋体" w:cs="Times New Roman"/>
          <w:sz w:val="24"/>
        </w:rPr>
        <w:t>（1）以操纵人员站立平面为基准，高度在2米以下的外露传动部位；</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（2）旋转的键、销、楔等突出大于3毫米的部位；</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（3）产生切屑、磨屑、冷却液等飞溅，可能触及人体或造成设备与环境污染的部位；</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（4）产生射线或弧光的部位；</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（5）伸入通道的超长工件；</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（6）超长设备后端300毫米以上的工件；</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（7）容易伤人的设备往复运动部位；</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（8）悬挂输送装置跨越通道的下部；</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（9）高于地面0.7米的操作平台。</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22.危险化学品库应满足：库房符合安全标准的要求，库内有应急预案。危险化学品按危险性进行分类、分区、分库储存。库内有隔热、降温、通风等措施，消防设施齐全，消防通道畅通。采用相应等级的防爆电器。有效处理废弃物品或包装容器。</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23.油库、油罐应满足：油槽车需持有专用许可证，进入库区，必须装设专用排气阻火器；油罐无腐蚀、泄漏；油罐上的液位计、呼吸阀齐全可靠、动作灵敏；罐体、胶质输油管等应有可靠的防雷接地和防静电接地；罐体与罐体之间或其它建筑物、管网、干道应留有足够的间距；库房的电气设施均应防爆；油库内应按贮存物品的种类和数量，配置足够的消防器材和灭火设施，并有相应的报警装置；库内使用的工具应是不产生火花的防爆工具；库内外应有醒目的安全警示标志和油品的名称、特性、数量、灭火方法等。</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24.专用设备应符合有关法律法规、标准规范要求：防护罩、盖、栏应完整可靠；各联锁、紧停、控制装置灵敏可靠；局部照明应为安全电压；PE等电器完好可靠；梯台符合要求。</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（二）设备设施检维修前应制定方案。检维修方案应包含作业行为分析和控制措施。检维修过程中应执行隐患控制措施并进行监督检查；</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1.设备设施检维修前应制定方案。检维修方案应包含作业行为分析和控制措施。</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2.按检（维）修计划定期对设备设施，包括安全设备设施进行检（维）修。</w:t>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释义</w:t>
      </w:r>
      <w:r>
        <w:rPr>
          <w:rFonts w:eastAsia="宋体" w:cs="Times New Roman"/>
          <w:sz w:val="24"/>
        </w:rPr>
        <w:t>：</w:t>
      </w:r>
    </w:p>
    <w:p>
      <w:pPr>
        <w:adjustRightInd w:val="0"/>
        <w:snapToGrid w:val="0"/>
        <w:spacing w:line="360" w:lineRule="auto"/>
        <w:ind w:firstLine="480" w:firstLineChars="200"/>
        <w:contextualSpacing/>
        <w:jc w:val="center"/>
        <w:rPr>
          <w:rFonts w:eastAsia="宋体" w:cs="Times New Roman"/>
          <w:sz w:val="24"/>
        </w:rPr>
      </w:pPr>
    </w:p>
    <w:p>
      <w:pPr>
        <w:adjustRightInd w:val="0"/>
        <w:snapToGrid w:val="0"/>
        <w:spacing w:line="360" w:lineRule="auto"/>
        <w:contextualSpacing/>
        <w:jc w:val="center"/>
        <w:rPr>
          <w:rFonts w:eastAsia="宋体" w:cs="Times New Roman"/>
          <w:sz w:val="24"/>
        </w:rPr>
      </w:pPr>
      <w:r>
        <w:rPr>
          <w:rFonts w:eastAsia="宋体" w:cs="Times New Roman"/>
          <w:sz w:val="24"/>
        </w:rPr>
        <w:drawing>
          <wp:inline distT="0" distB="0" distL="0" distR="0">
            <wp:extent cx="2958465" cy="3473450"/>
            <wp:effectExtent l="0" t="0" r="13335" b="1270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58465" cy="3473450"/>
                    </a:xfrm>
                    <a:prstGeom prst="rect">
                      <a:avLst/>
                    </a:prstGeom>
                  </pic:spPr>
                </pic:pic>
              </a:graphicData>
            </a:graphic>
          </wp:inline>
        </w:drawing>
      </w:r>
    </w:p>
    <w:p>
      <w:pPr>
        <w:spacing w:after="120"/>
        <w:jc w:val="center"/>
        <w:rPr>
          <w:rFonts w:eastAsia="宋体" w:cs="Times New Roman"/>
        </w:rPr>
      </w:pPr>
      <w:r>
        <w:rPr>
          <w:rFonts w:eastAsia="宋体" w:cs="Times New Roman"/>
          <w:sz w:val="21"/>
          <w:szCs w:val="21"/>
        </w:rPr>
        <w:t>图6.2-28设备检维修记录示例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（三）安全设备设施不得随意拆除、挪用或弃置不用；确因检维修拆除的，应采取临时安全措施，检维修完毕后立即复原。</w:t>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释义</w:t>
      </w:r>
      <w:r>
        <w:rPr>
          <w:rFonts w:eastAsia="宋体" w:cs="Times New Roman"/>
          <w:sz w:val="24"/>
        </w:rPr>
        <w:t>：</w:t>
      </w:r>
    </w:p>
    <w:p>
      <w:pPr>
        <w:adjustRightInd w:val="0"/>
        <w:snapToGrid w:val="0"/>
        <w:spacing w:line="360" w:lineRule="auto"/>
        <w:contextualSpacing/>
        <w:jc w:val="center"/>
        <w:rPr>
          <w:rFonts w:eastAsia="宋体" w:cs="Times New Roman"/>
          <w:sz w:val="24"/>
        </w:rPr>
      </w:pPr>
      <w:r>
        <w:rPr>
          <w:rFonts w:cs="Times New Roman"/>
        </w:rPr>
        <w:drawing>
          <wp:inline distT="0" distB="0" distL="0" distR="0">
            <wp:extent cx="2492375" cy="3225165"/>
            <wp:effectExtent l="0" t="0" r="3175" b="0"/>
            <wp:docPr id="28674" name="图片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图片 28674"/>
                    <pic:cNvPicPr>
                      <a:picLocks noChangeAspect="1"/>
                    </pic:cNvPicPr>
                  </pic:nvPicPr>
                  <pic:blipFill>
                    <a:blip r:embed="rId89"/>
                    <a:stretch>
                      <a:fillRect/>
                    </a:stretch>
                  </pic:blipFill>
                  <pic:spPr>
                    <a:xfrm>
                      <a:off x="0" y="0"/>
                      <a:ext cx="2500467" cy="3234983"/>
                    </a:xfrm>
                    <a:prstGeom prst="rect">
                      <a:avLst/>
                    </a:prstGeom>
                  </pic:spPr>
                </pic:pic>
              </a:graphicData>
            </a:graphic>
          </wp:inline>
        </w:drawing>
      </w:r>
    </w:p>
    <w:p>
      <w:pPr>
        <w:adjustRightInd w:val="0"/>
        <w:snapToGrid w:val="0"/>
        <w:spacing w:line="360" w:lineRule="auto"/>
        <w:contextualSpacing/>
        <w:jc w:val="center"/>
        <w:rPr>
          <w:rFonts w:eastAsia="宋体" w:cs="Times New Roman"/>
          <w:sz w:val="21"/>
          <w:szCs w:val="21"/>
        </w:rPr>
      </w:pPr>
      <w:r>
        <w:rPr>
          <w:rFonts w:hint="eastAsia" w:eastAsia="宋体" w:cs="Times New Roman"/>
          <w:sz w:val="21"/>
          <w:szCs w:val="21"/>
        </w:rPr>
        <w:t>图6</w:t>
      </w:r>
      <w:r>
        <w:rPr>
          <w:rFonts w:eastAsia="宋体" w:cs="Times New Roman"/>
          <w:sz w:val="21"/>
          <w:szCs w:val="21"/>
        </w:rPr>
        <w:t>.2-29</w:t>
      </w:r>
      <w:r>
        <w:rPr>
          <w:rFonts w:hint="eastAsia" w:eastAsia="宋体" w:cs="Times New Roman"/>
          <w:sz w:val="21"/>
          <w:szCs w:val="21"/>
        </w:rPr>
        <w:t>安全防护设施拆除申请单示例</w:t>
      </w:r>
    </w:p>
    <w:p>
      <w:pPr>
        <w:adjustRightInd w:val="0"/>
        <w:snapToGrid w:val="0"/>
        <w:spacing w:line="360" w:lineRule="auto"/>
        <w:contextualSpacing/>
        <w:jc w:val="center"/>
        <w:rPr>
          <w:rFonts w:eastAsia="宋体" w:cs="Times New Roman"/>
          <w:b/>
          <w:bCs/>
          <w:sz w:val="21"/>
          <w:szCs w:val="21"/>
        </w:rPr>
      </w:pPr>
    </w:p>
    <w:p>
      <w:pPr>
        <w:adjustRightInd w:val="0"/>
        <w:snapToGrid w:val="0"/>
        <w:spacing w:line="360" w:lineRule="auto"/>
        <w:ind w:firstLine="482" w:firstLineChars="200"/>
        <w:contextualSpacing/>
        <w:jc w:val="left"/>
        <w:outlineLvl w:val="1"/>
        <w:rPr>
          <w:rFonts w:eastAsia="宋体" w:cs="Times New Roman"/>
          <w:b/>
          <w:sz w:val="24"/>
        </w:rPr>
      </w:pPr>
      <w:r>
        <w:rPr>
          <w:rFonts w:eastAsia="宋体" w:cs="Times New Roman"/>
          <w:b/>
          <w:sz w:val="24"/>
        </w:rPr>
        <w:t>三、设备设施到货验收和报废拆除</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（一）设备的设计、制造、安装、使用、检测、维修、改造、拆除和报废，应符合有关法律法规、标准规范的要求；</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设备的全生命周期，应符合相关法律法规、标准规范的要求，确保安全。</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（二）企业应执行生产设备设施到货验收和报废管理制度，应使用质量合格、设计符合要求的生产设备设施；</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1.建立设备设施验收和设备设施拆除、报废的管理制度。</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2.按规定对设备设施进行验收，确保使用质量合格、设计符合要求的设备设施。</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（三）拆除的生产设备设施应按规定进行处置。拆除的生产设备设施涉及到危险物品的，须制定危险物品处置方案和应急措施，并严格按规定组织实施；</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按规定对不符合要求的设备设施进行报废或拆除。</w:t>
      </w:r>
    </w:p>
    <w:p>
      <w:pPr>
        <w:adjustRightInd w:val="0"/>
        <w:snapToGrid w:val="0"/>
        <w:spacing w:line="360" w:lineRule="auto"/>
        <w:ind w:firstLine="482" w:firstLineChars="200"/>
        <w:contextualSpacing/>
        <w:jc w:val="left"/>
        <w:rPr>
          <w:rFonts w:eastAsia="宋体" w:cs="Times New Roman"/>
          <w:sz w:val="24"/>
        </w:rPr>
      </w:pPr>
      <w:r>
        <w:rPr>
          <w:rFonts w:hint="eastAsia" w:eastAsia="宋体" w:cs="Times New Roman"/>
          <w:b/>
          <w:bCs/>
          <w:sz w:val="24"/>
        </w:rPr>
        <w:t>释义</w:t>
      </w:r>
      <w:r>
        <w:rPr>
          <w:rFonts w:eastAsia="宋体" w:cs="Times New Roman"/>
          <w:b/>
          <w:bCs/>
          <w:sz w:val="24"/>
        </w:rPr>
        <w:t>：</w:t>
      </w:r>
    </w:p>
    <w:p>
      <w:pPr>
        <w:pStyle w:val="2"/>
        <w:spacing w:line="360" w:lineRule="auto"/>
        <w:ind w:firstLine="480" w:firstLineChars="200"/>
        <w:rPr>
          <w:sz w:val="24"/>
          <w:szCs w:val="24"/>
        </w:rPr>
      </w:pPr>
      <w:r>
        <w:rPr>
          <w:sz w:val="24"/>
          <w:szCs w:val="24"/>
        </w:rPr>
        <w:t>设备购买技术协议中应有专门安全要求，验收应有安全部门/人员参加，并有专门的安全验收条款，维修、保养、拆除应符合本章前述要求。</w:t>
      </w:r>
    </w:p>
    <w:p>
      <w:pPr>
        <w:widowControl/>
        <w:jc w:val="left"/>
        <w:rPr>
          <w:rFonts w:eastAsia="宋体" w:cs="Times New Roman"/>
          <w:sz w:val="24"/>
        </w:rPr>
      </w:pPr>
      <w:r>
        <w:rPr>
          <w:rFonts w:cs="Times New Roman"/>
          <w:sz w:val="24"/>
        </w:rPr>
        <w:br w:type="page"/>
      </w:r>
    </w:p>
    <w:p>
      <w:pPr>
        <w:pStyle w:val="2"/>
        <w:spacing w:line="360" w:lineRule="auto"/>
        <w:jc w:val="center"/>
        <w:rPr>
          <w:sz w:val="21"/>
          <w:szCs w:val="21"/>
        </w:rPr>
      </w:pPr>
      <w:r>
        <w:rPr>
          <w:rFonts w:hint="eastAsia"/>
          <w:sz w:val="21"/>
          <w:szCs w:val="21"/>
        </w:rPr>
        <w:t>表6</w:t>
      </w:r>
      <w:r>
        <w:rPr>
          <w:sz w:val="21"/>
          <w:szCs w:val="21"/>
        </w:rPr>
        <w:t>.3-1  ***设备验收表示例</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4"/>
        <w:gridCol w:w="1218"/>
        <w:gridCol w:w="367"/>
        <w:gridCol w:w="1585"/>
        <w:gridCol w:w="15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4" w:type="dxa"/>
            <w:vAlign w:val="center"/>
          </w:tcPr>
          <w:p>
            <w:pPr>
              <w:pStyle w:val="2"/>
              <w:adjustRightInd w:val="0"/>
              <w:snapToGrid w:val="0"/>
              <w:contextualSpacing/>
              <w:jc w:val="center"/>
              <w:rPr>
                <w:sz w:val="21"/>
                <w:szCs w:val="21"/>
              </w:rPr>
            </w:pPr>
            <w:r>
              <w:rPr>
                <w:sz w:val="21"/>
                <w:szCs w:val="21"/>
              </w:rPr>
              <w:t>设备名称</w:t>
            </w:r>
          </w:p>
        </w:tc>
        <w:tc>
          <w:tcPr>
            <w:tcW w:w="1585" w:type="dxa"/>
            <w:gridSpan w:val="2"/>
            <w:vAlign w:val="center"/>
          </w:tcPr>
          <w:p>
            <w:pPr>
              <w:pStyle w:val="2"/>
              <w:adjustRightInd w:val="0"/>
              <w:snapToGrid w:val="0"/>
              <w:contextualSpacing/>
              <w:jc w:val="center"/>
              <w:rPr>
                <w:sz w:val="21"/>
                <w:szCs w:val="21"/>
              </w:rPr>
            </w:pPr>
          </w:p>
        </w:tc>
        <w:tc>
          <w:tcPr>
            <w:tcW w:w="1585" w:type="dxa"/>
            <w:vAlign w:val="center"/>
          </w:tcPr>
          <w:p>
            <w:pPr>
              <w:pStyle w:val="2"/>
              <w:adjustRightInd w:val="0"/>
              <w:snapToGrid w:val="0"/>
              <w:contextualSpacing/>
              <w:jc w:val="center"/>
              <w:rPr>
                <w:sz w:val="21"/>
                <w:szCs w:val="21"/>
              </w:rPr>
            </w:pPr>
            <w:r>
              <w:rPr>
                <w:sz w:val="21"/>
                <w:szCs w:val="21"/>
              </w:rPr>
              <w:t>所属车间</w:t>
            </w:r>
          </w:p>
        </w:tc>
        <w:tc>
          <w:tcPr>
            <w:tcW w:w="1585" w:type="dxa"/>
            <w:vAlign w:val="center"/>
          </w:tcPr>
          <w:p>
            <w:pPr>
              <w:pStyle w:val="2"/>
              <w:adjustRightInd w:val="0"/>
              <w:snapToGrid w:val="0"/>
              <w:contextualSpacing/>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4" w:type="dxa"/>
            <w:vAlign w:val="center"/>
          </w:tcPr>
          <w:p>
            <w:pPr>
              <w:pStyle w:val="2"/>
              <w:adjustRightInd w:val="0"/>
              <w:snapToGrid w:val="0"/>
              <w:contextualSpacing/>
              <w:jc w:val="center"/>
              <w:rPr>
                <w:sz w:val="21"/>
                <w:szCs w:val="21"/>
              </w:rPr>
            </w:pPr>
            <w:r>
              <w:rPr>
                <w:sz w:val="21"/>
                <w:szCs w:val="21"/>
              </w:rPr>
              <w:t>验收日期</w:t>
            </w:r>
          </w:p>
        </w:tc>
        <w:tc>
          <w:tcPr>
            <w:tcW w:w="1585" w:type="dxa"/>
            <w:gridSpan w:val="2"/>
            <w:vAlign w:val="center"/>
          </w:tcPr>
          <w:p>
            <w:pPr>
              <w:pStyle w:val="2"/>
              <w:adjustRightInd w:val="0"/>
              <w:snapToGrid w:val="0"/>
              <w:contextualSpacing/>
              <w:jc w:val="center"/>
              <w:rPr>
                <w:sz w:val="21"/>
                <w:szCs w:val="21"/>
              </w:rPr>
            </w:pPr>
          </w:p>
        </w:tc>
        <w:tc>
          <w:tcPr>
            <w:tcW w:w="1585" w:type="dxa"/>
            <w:vAlign w:val="center"/>
          </w:tcPr>
          <w:p>
            <w:pPr>
              <w:pStyle w:val="2"/>
              <w:adjustRightInd w:val="0"/>
              <w:snapToGrid w:val="0"/>
              <w:contextualSpacing/>
              <w:jc w:val="center"/>
              <w:rPr>
                <w:sz w:val="21"/>
                <w:szCs w:val="21"/>
              </w:rPr>
            </w:pPr>
          </w:p>
        </w:tc>
        <w:tc>
          <w:tcPr>
            <w:tcW w:w="1585" w:type="dxa"/>
            <w:vAlign w:val="center"/>
          </w:tcPr>
          <w:p>
            <w:pPr>
              <w:pStyle w:val="2"/>
              <w:adjustRightInd w:val="0"/>
              <w:snapToGrid w:val="0"/>
              <w:contextualSpacing/>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4" w:type="dxa"/>
            <w:vAlign w:val="center"/>
          </w:tcPr>
          <w:p>
            <w:pPr>
              <w:pStyle w:val="2"/>
              <w:adjustRightInd w:val="0"/>
              <w:snapToGrid w:val="0"/>
              <w:contextualSpacing/>
              <w:jc w:val="center"/>
              <w:rPr>
                <w:sz w:val="21"/>
                <w:szCs w:val="21"/>
              </w:rPr>
            </w:pPr>
            <w:r>
              <w:rPr>
                <w:sz w:val="21"/>
                <w:szCs w:val="21"/>
              </w:rPr>
              <w:t>设备部验收意见</w:t>
            </w:r>
          </w:p>
        </w:tc>
        <w:tc>
          <w:tcPr>
            <w:tcW w:w="4755" w:type="dxa"/>
            <w:gridSpan w:val="4"/>
            <w:vAlign w:val="center"/>
          </w:tcPr>
          <w:p>
            <w:pPr>
              <w:pStyle w:val="2"/>
              <w:adjustRightInd w:val="0"/>
              <w:snapToGrid w:val="0"/>
              <w:contextualSpacing/>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4" w:type="dxa"/>
            <w:vAlign w:val="center"/>
          </w:tcPr>
          <w:p>
            <w:pPr>
              <w:pStyle w:val="2"/>
              <w:adjustRightInd w:val="0"/>
              <w:snapToGrid w:val="0"/>
              <w:contextualSpacing/>
              <w:jc w:val="center"/>
              <w:rPr>
                <w:sz w:val="21"/>
                <w:szCs w:val="21"/>
              </w:rPr>
            </w:pPr>
            <w:r>
              <w:rPr>
                <w:sz w:val="21"/>
                <w:szCs w:val="21"/>
              </w:rPr>
              <w:t>使用部门验收意见</w:t>
            </w:r>
          </w:p>
        </w:tc>
        <w:tc>
          <w:tcPr>
            <w:tcW w:w="4755" w:type="dxa"/>
            <w:gridSpan w:val="4"/>
            <w:vAlign w:val="center"/>
          </w:tcPr>
          <w:p>
            <w:pPr>
              <w:pStyle w:val="2"/>
              <w:adjustRightInd w:val="0"/>
              <w:snapToGrid w:val="0"/>
              <w:contextualSpacing/>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84" w:type="dxa"/>
            <w:vMerge w:val="restart"/>
            <w:vAlign w:val="center"/>
          </w:tcPr>
          <w:p>
            <w:pPr>
              <w:pStyle w:val="2"/>
              <w:adjustRightInd w:val="0"/>
              <w:snapToGrid w:val="0"/>
              <w:contextualSpacing/>
              <w:jc w:val="center"/>
              <w:rPr>
                <w:sz w:val="21"/>
                <w:szCs w:val="21"/>
              </w:rPr>
            </w:pPr>
            <w:r>
              <w:rPr>
                <w:sz w:val="21"/>
                <w:szCs w:val="21"/>
              </w:rPr>
              <w:t>安全部门验收意见</w:t>
            </w:r>
          </w:p>
        </w:tc>
        <w:tc>
          <w:tcPr>
            <w:tcW w:w="1218" w:type="dxa"/>
            <w:vAlign w:val="center"/>
          </w:tcPr>
          <w:p>
            <w:pPr>
              <w:pStyle w:val="2"/>
              <w:adjustRightInd w:val="0"/>
              <w:snapToGrid w:val="0"/>
              <w:contextualSpacing/>
              <w:jc w:val="center"/>
              <w:rPr>
                <w:sz w:val="21"/>
                <w:szCs w:val="21"/>
              </w:rPr>
            </w:pPr>
            <w:r>
              <w:rPr>
                <w:sz w:val="21"/>
                <w:szCs w:val="21"/>
              </w:rPr>
              <w:t>电气</w:t>
            </w:r>
          </w:p>
        </w:tc>
        <w:tc>
          <w:tcPr>
            <w:tcW w:w="3537" w:type="dxa"/>
            <w:gridSpan w:val="3"/>
            <w:vAlign w:val="center"/>
          </w:tcPr>
          <w:p>
            <w:pPr>
              <w:widowControl/>
              <w:jc w:val="left"/>
              <w:rPr>
                <w:rFonts w:eastAsia="宋体" w:cs="Times New Roman"/>
                <w:sz w:val="21"/>
                <w:szCs w:val="21"/>
              </w:rPr>
            </w:pPr>
          </w:p>
          <w:p>
            <w:pPr>
              <w:pStyle w:val="2"/>
              <w:adjustRightInd w:val="0"/>
              <w:snapToGrid w:val="0"/>
              <w:contextualSpacing/>
              <w:jc w:val="left"/>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84" w:type="dxa"/>
            <w:vMerge w:val="continue"/>
            <w:vAlign w:val="center"/>
          </w:tcPr>
          <w:p>
            <w:pPr>
              <w:pStyle w:val="2"/>
              <w:adjustRightInd w:val="0"/>
              <w:snapToGrid w:val="0"/>
              <w:contextualSpacing/>
              <w:jc w:val="center"/>
              <w:rPr>
                <w:sz w:val="21"/>
                <w:szCs w:val="21"/>
              </w:rPr>
            </w:pPr>
          </w:p>
        </w:tc>
        <w:tc>
          <w:tcPr>
            <w:tcW w:w="1218" w:type="dxa"/>
            <w:vAlign w:val="center"/>
          </w:tcPr>
          <w:p>
            <w:pPr>
              <w:pStyle w:val="2"/>
              <w:adjustRightInd w:val="0"/>
              <w:snapToGrid w:val="0"/>
              <w:contextualSpacing/>
              <w:jc w:val="center"/>
              <w:rPr>
                <w:sz w:val="21"/>
                <w:szCs w:val="21"/>
              </w:rPr>
            </w:pPr>
            <w:r>
              <w:rPr>
                <w:sz w:val="21"/>
                <w:szCs w:val="21"/>
              </w:rPr>
              <w:t>材质</w:t>
            </w:r>
          </w:p>
        </w:tc>
        <w:tc>
          <w:tcPr>
            <w:tcW w:w="3537" w:type="dxa"/>
            <w:gridSpan w:val="3"/>
            <w:vAlign w:val="center"/>
          </w:tcPr>
          <w:p>
            <w:pPr>
              <w:widowControl/>
              <w:jc w:val="left"/>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84" w:type="dxa"/>
            <w:vMerge w:val="continue"/>
            <w:vAlign w:val="center"/>
          </w:tcPr>
          <w:p>
            <w:pPr>
              <w:pStyle w:val="2"/>
              <w:adjustRightInd w:val="0"/>
              <w:snapToGrid w:val="0"/>
              <w:contextualSpacing/>
              <w:jc w:val="center"/>
              <w:rPr>
                <w:sz w:val="21"/>
                <w:szCs w:val="21"/>
              </w:rPr>
            </w:pPr>
          </w:p>
        </w:tc>
        <w:tc>
          <w:tcPr>
            <w:tcW w:w="1218" w:type="dxa"/>
            <w:vAlign w:val="center"/>
          </w:tcPr>
          <w:p>
            <w:pPr>
              <w:pStyle w:val="2"/>
              <w:adjustRightInd w:val="0"/>
              <w:snapToGrid w:val="0"/>
              <w:contextualSpacing/>
              <w:jc w:val="center"/>
              <w:rPr>
                <w:sz w:val="21"/>
                <w:szCs w:val="21"/>
              </w:rPr>
            </w:pPr>
            <w:r>
              <w:rPr>
                <w:sz w:val="21"/>
                <w:szCs w:val="21"/>
              </w:rPr>
              <w:t>旋转部位防护</w:t>
            </w:r>
          </w:p>
        </w:tc>
        <w:tc>
          <w:tcPr>
            <w:tcW w:w="3537" w:type="dxa"/>
            <w:gridSpan w:val="3"/>
            <w:vAlign w:val="center"/>
          </w:tcPr>
          <w:p>
            <w:pPr>
              <w:widowControl/>
              <w:jc w:val="left"/>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84" w:type="dxa"/>
            <w:vMerge w:val="continue"/>
            <w:vAlign w:val="center"/>
          </w:tcPr>
          <w:p>
            <w:pPr>
              <w:pStyle w:val="2"/>
              <w:adjustRightInd w:val="0"/>
              <w:snapToGrid w:val="0"/>
              <w:contextualSpacing/>
              <w:jc w:val="center"/>
              <w:rPr>
                <w:sz w:val="21"/>
                <w:szCs w:val="21"/>
              </w:rPr>
            </w:pPr>
          </w:p>
        </w:tc>
        <w:tc>
          <w:tcPr>
            <w:tcW w:w="1218" w:type="dxa"/>
            <w:vAlign w:val="center"/>
          </w:tcPr>
          <w:p>
            <w:pPr>
              <w:pStyle w:val="2"/>
              <w:adjustRightInd w:val="0"/>
              <w:snapToGrid w:val="0"/>
              <w:contextualSpacing/>
              <w:jc w:val="center"/>
              <w:rPr>
                <w:sz w:val="21"/>
                <w:szCs w:val="21"/>
              </w:rPr>
            </w:pPr>
            <w:r>
              <w:rPr>
                <w:sz w:val="21"/>
                <w:szCs w:val="21"/>
              </w:rPr>
              <w:t>梯台</w:t>
            </w:r>
          </w:p>
        </w:tc>
        <w:tc>
          <w:tcPr>
            <w:tcW w:w="3537" w:type="dxa"/>
            <w:gridSpan w:val="3"/>
            <w:vAlign w:val="center"/>
          </w:tcPr>
          <w:p>
            <w:pPr>
              <w:widowControl/>
              <w:jc w:val="left"/>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trPr>
        <w:tc>
          <w:tcPr>
            <w:tcW w:w="1584" w:type="dxa"/>
            <w:vMerge w:val="continue"/>
            <w:vAlign w:val="center"/>
          </w:tcPr>
          <w:p>
            <w:pPr>
              <w:pStyle w:val="2"/>
              <w:adjustRightInd w:val="0"/>
              <w:snapToGrid w:val="0"/>
              <w:contextualSpacing/>
              <w:jc w:val="center"/>
              <w:rPr>
                <w:sz w:val="21"/>
                <w:szCs w:val="21"/>
              </w:rPr>
            </w:pPr>
          </w:p>
        </w:tc>
        <w:tc>
          <w:tcPr>
            <w:tcW w:w="1218" w:type="dxa"/>
            <w:vAlign w:val="center"/>
          </w:tcPr>
          <w:p>
            <w:pPr>
              <w:pStyle w:val="2"/>
              <w:adjustRightInd w:val="0"/>
              <w:snapToGrid w:val="0"/>
              <w:contextualSpacing/>
              <w:jc w:val="center"/>
              <w:rPr>
                <w:sz w:val="21"/>
                <w:szCs w:val="21"/>
              </w:rPr>
            </w:pPr>
            <w:r>
              <w:rPr>
                <w:sz w:val="21"/>
                <w:szCs w:val="21"/>
              </w:rPr>
              <w:t>防火防爆</w:t>
            </w:r>
          </w:p>
        </w:tc>
        <w:tc>
          <w:tcPr>
            <w:tcW w:w="3537" w:type="dxa"/>
            <w:gridSpan w:val="3"/>
            <w:vAlign w:val="center"/>
          </w:tcPr>
          <w:p>
            <w:pPr>
              <w:widowControl/>
              <w:jc w:val="left"/>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84" w:type="dxa"/>
            <w:vMerge w:val="continue"/>
            <w:vAlign w:val="center"/>
          </w:tcPr>
          <w:p>
            <w:pPr>
              <w:pStyle w:val="2"/>
              <w:adjustRightInd w:val="0"/>
              <w:snapToGrid w:val="0"/>
              <w:contextualSpacing/>
              <w:jc w:val="center"/>
              <w:rPr>
                <w:sz w:val="21"/>
                <w:szCs w:val="21"/>
              </w:rPr>
            </w:pPr>
          </w:p>
        </w:tc>
        <w:tc>
          <w:tcPr>
            <w:tcW w:w="1218" w:type="dxa"/>
            <w:vAlign w:val="center"/>
          </w:tcPr>
          <w:p>
            <w:pPr>
              <w:pStyle w:val="2"/>
              <w:adjustRightInd w:val="0"/>
              <w:snapToGrid w:val="0"/>
              <w:contextualSpacing/>
              <w:jc w:val="center"/>
              <w:rPr>
                <w:sz w:val="21"/>
                <w:szCs w:val="21"/>
              </w:rPr>
            </w:pPr>
            <w:r>
              <w:rPr>
                <w:sz w:val="21"/>
                <w:szCs w:val="21"/>
              </w:rPr>
              <w:t>其他安全设施</w:t>
            </w:r>
          </w:p>
        </w:tc>
        <w:tc>
          <w:tcPr>
            <w:tcW w:w="3537" w:type="dxa"/>
            <w:gridSpan w:val="3"/>
            <w:vAlign w:val="center"/>
          </w:tcPr>
          <w:p>
            <w:pPr>
              <w:widowControl/>
              <w:jc w:val="left"/>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4" w:type="dxa"/>
            <w:vAlign w:val="center"/>
          </w:tcPr>
          <w:p>
            <w:pPr>
              <w:pStyle w:val="2"/>
              <w:adjustRightInd w:val="0"/>
              <w:snapToGrid w:val="0"/>
              <w:contextualSpacing/>
              <w:jc w:val="center"/>
              <w:rPr>
                <w:sz w:val="21"/>
                <w:szCs w:val="21"/>
              </w:rPr>
            </w:pPr>
            <w:r>
              <w:rPr>
                <w:sz w:val="21"/>
                <w:szCs w:val="21"/>
              </w:rPr>
              <w:t>综合验收意见</w:t>
            </w:r>
          </w:p>
        </w:tc>
        <w:tc>
          <w:tcPr>
            <w:tcW w:w="4755" w:type="dxa"/>
            <w:gridSpan w:val="4"/>
            <w:vAlign w:val="center"/>
          </w:tcPr>
          <w:p>
            <w:pPr>
              <w:pStyle w:val="2"/>
              <w:adjustRightInd w:val="0"/>
              <w:snapToGrid w:val="0"/>
              <w:contextualSpacing/>
              <w:jc w:val="left"/>
              <w:rPr>
                <w:sz w:val="21"/>
                <w:szCs w:val="21"/>
              </w:rPr>
            </w:pPr>
          </w:p>
        </w:tc>
      </w:tr>
    </w:tbl>
    <w:p>
      <w:pPr>
        <w:adjustRightInd w:val="0"/>
        <w:snapToGrid w:val="0"/>
        <w:spacing w:line="360" w:lineRule="auto"/>
        <w:ind w:firstLine="482" w:firstLineChars="200"/>
        <w:contextualSpacing/>
        <w:jc w:val="left"/>
        <w:outlineLvl w:val="1"/>
        <w:rPr>
          <w:rFonts w:eastAsia="宋体" w:cs="Times New Roman"/>
          <w:b/>
          <w:bCs/>
          <w:sz w:val="24"/>
        </w:rPr>
      </w:pPr>
      <w:r>
        <w:rPr>
          <w:rFonts w:hint="eastAsia" w:eastAsia="宋体" w:cs="Times New Roman"/>
          <w:b/>
          <w:bCs/>
          <w:sz w:val="24"/>
        </w:rPr>
        <w:t>四</w:t>
      </w:r>
      <w:r>
        <w:rPr>
          <w:rFonts w:eastAsia="宋体" w:cs="Times New Roman"/>
          <w:b/>
          <w:bCs/>
          <w:sz w:val="24"/>
        </w:rPr>
        <w:t>、材料清单</w:t>
      </w:r>
    </w:p>
    <w:p>
      <w:pPr>
        <w:spacing w:line="360" w:lineRule="auto"/>
        <w:ind w:firstLine="480" w:firstLineChars="200"/>
        <w:rPr>
          <w:rFonts w:eastAsia="宋体" w:cs="Times New Roman"/>
          <w:sz w:val="24"/>
        </w:rPr>
      </w:pPr>
      <w:r>
        <w:rPr>
          <w:rFonts w:eastAsia="宋体" w:cs="Times New Roman"/>
          <w:sz w:val="24"/>
        </w:rPr>
        <w:t>1、建立新、改、扩建工程“三同时”管理制度；2、设备设施管理制度；3、设备设施变更管理制度；4、设备设施检修、维护、保养管理制度；5、设备设施检（维）修计划；6、设备设施检（维）修方案；7、临时用电审批单；8、临时用电登记表；9、移动电气设备定期绝缘电阻检测记录。</w:t>
      </w:r>
    </w:p>
    <w:p>
      <w:pPr>
        <w:adjustRightInd w:val="0"/>
        <w:snapToGrid w:val="0"/>
        <w:spacing w:line="360" w:lineRule="auto"/>
        <w:ind w:firstLine="482" w:firstLineChars="200"/>
        <w:contextualSpacing/>
        <w:jc w:val="left"/>
        <w:outlineLvl w:val="1"/>
        <w:rPr>
          <w:rFonts w:eastAsia="宋体" w:cs="Times New Roman"/>
          <w:b/>
          <w:bCs/>
          <w:sz w:val="24"/>
        </w:rPr>
      </w:pPr>
      <w:r>
        <w:rPr>
          <w:rFonts w:hint="eastAsia" w:eastAsia="宋体" w:cs="Times New Roman"/>
          <w:b/>
          <w:bCs/>
          <w:sz w:val="24"/>
        </w:rPr>
        <w:t>五</w:t>
      </w:r>
      <w:r>
        <w:rPr>
          <w:rFonts w:eastAsia="宋体" w:cs="Times New Roman"/>
          <w:b/>
          <w:bCs/>
          <w:sz w:val="24"/>
        </w:rPr>
        <w:t>、引用的法规和标准</w:t>
      </w:r>
    </w:p>
    <w:p>
      <w:pPr>
        <w:spacing w:line="360" w:lineRule="auto"/>
        <w:rPr>
          <w:rFonts w:eastAsia="宋体" w:cs="Times New Roman"/>
          <w:b/>
          <w:bCs/>
          <w:sz w:val="24"/>
        </w:rPr>
      </w:pPr>
      <w:r>
        <w:rPr>
          <w:rFonts w:eastAsia="宋体" w:cs="Times New Roman"/>
          <w:b/>
          <w:bCs/>
          <w:sz w:val="24"/>
        </w:rPr>
        <w:t>1、《砂轮机 安全防护技术条件》JBT 8799-1998；</w:t>
      </w:r>
    </w:p>
    <w:p>
      <w:pPr>
        <w:spacing w:line="360" w:lineRule="auto"/>
        <w:rPr>
          <w:rFonts w:eastAsia="宋体" w:cs="Times New Roman"/>
          <w:b/>
          <w:bCs/>
          <w:sz w:val="24"/>
        </w:rPr>
      </w:pPr>
      <w:r>
        <w:rPr>
          <w:rFonts w:eastAsia="宋体" w:cs="Times New Roman"/>
          <w:b/>
          <w:bCs/>
          <w:sz w:val="24"/>
        </w:rPr>
        <w:t>2、《压力机用安全防护装置技术要求》GB 5091-2011；</w:t>
      </w:r>
    </w:p>
    <w:p>
      <w:pPr>
        <w:spacing w:line="360" w:lineRule="auto"/>
        <w:rPr>
          <w:rFonts w:eastAsia="宋体" w:cs="Times New Roman"/>
          <w:b/>
          <w:bCs/>
          <w:sz w:val="24"/>
        </w:rPr>
      </w:pPr>
      <w:r>
        <w:rPr>
          <w:rFonts w:eastAsia="宋体" w:cs="Times New Roman"/>
          <w:b/>
          <w:bCs/>
          <w:sz w:val="24"/>
        </w:rPr>
        <w:t>3、《加工中心安全防护技术条件》GB 18568-2001；</w:t>
      </w:r>
    </w:p>
    <w:p>
      <w:pPr>
        <w:spacing w:line="360" w:lineRule="auto"/>
        <w:rPr>
          <w:rFonts w:eastAsia="宋体" w:cs="Times New Roman"/>
          <w:b/>
          <w:bCs/>
          <w:sz w:val="24"/>
        </w:rPr>
      </w:pPr>
      <w:r>
        <w:rPr>
          <w:rFonts w:eastAsia="宋体" w:cs="Times New Roman"/>
          <w:b/>
          <w:bCs/>
          <w:sz w:val="24"/>
        </w:rPr>
        <w:t>4、《剪板机 安全技术要求》GB 28240-2012；</w:t>
      </w:r>
    </w:p>
    <w:p>
      <w:pPr>
        <w:spacing w:line="360" w:lineRule="auto"/>
        <w:rPr>
          <w:rFonts w:eastAsia="宋体" w:cs="Times New Roman"/>
          <w:b/>
          <w:bCs/>
          <w:sz w:val="24"/>
        </w:rPr>
      </w:pPr>
      <w:r>
        <w:rPr>
          <w:rFonts w:eastAsia="宋体" w:cs="Times New Roman"/>
          <w:b/>
          <w:bCs/>
          <w:sz w:val="24"/>
        </w:rPr>
        <w:t>5、《机械安全 防护装置 固定式和活动式防护装置的设计与制造一般要求》GB∕T 8196-2018；</w:t>
      </w:r>
    </w:p>
    <w:p>
      <w:pPr>
        <w:spacing w:line="360" w:lineRule="auto"/>
        <w:rPr>
          <w:rFonts w:eastAsia="宋体" w:cs="Times New Roman"/>
          <w:b/>
          <w:bCs/>
          <w:sz w:val="24"/>
        </w:rPr>
      </w:pPr>
      <w:r>
        <w:rPr>
          <w:rFonts w:eastAsia="宋体" w:cs="Times New Roman"/>
          <w:b/>
          <w:bCs/>
          <w:sz w:val="24"/>
        </w:rPr>
        <w:t>6、《机械安全 设计通则 风险评估与风险减小》GBT 15706-2012；</w:t>
      </w:r>
    </w:p>
    <w:p>
      <w:pPr>
        <w:spacing w:line="360" w:lineRule="auto"/>
        <w:rPr>
          <w:rFonts w:eastAsia="宋体" w:cs="Times New Roman"/>
          <w:b/>
          <w:bCs/>
          <w:sz w:val="24"/>
        </w:rPr>
      </w:pPr>
      <w:r>
        <w:rPr>
          <w:rFonts w:eastAsia="宋体" w:cs="Times New Roman"/>
          <w:b/>
          <w:bCs/>
          <w:sz w:val="24"/>
        </w:rPr>
        <w:t>7、《起重机械超载保护装置》GB 12602-2009；</w:t>
      </w:r>
    </w:p>
    <w:p>
      <w:pPr>
        <w:spacing w:line="360" w:lineRule="auto"/>
        <w:rPr>
          <w:rFonts w:eastAsia="宋体" w:cs="Times New Roman"/>
          <w:b/>
          <w:bCs/>
          <w:sz w:val="24"/>
        </w:rPr>
      </w:pPr>
      <w:r>
        <w:rPr>
          <w:rFonts w:eastAsia="宋体" w:cs="Times New Roman"/>
          <w:b/>
          <w:bCs/>
          <w:sz w:val="24"/>
        </w:rPr>
        <w:t>8、《手持式电动工具的管理、使用、检查和维修安全技术规程》GBT 3787-2017；</w:t>
      </w:r>
    </w:p>
    <w:p>
      <w:pPr>
        <w:spacing w:line="360" w:lineRule="auto"/>
        <w:rPr>
          <w:rFonts w:eastAsia="宋体" w:cs="Times New Roman"/>
          <w:b/>
          <w:bCs/>
          <w:sz w:val="24"/>
        </w:rPr>
      </w:pPr>
      <w:r>
        <w:rPr>
          <w:rFonts w:eastAsia="宋体" w:cs="Times New Roman"/>
          <w:b/>
          <w:bCs/>
          <w:sz w:val="24"/>
        </w:rPr>
        <w:t>9、《固定式钢梯及平台安全要求 第1部分：钢直梯》GB4053.1-2009；</w:t>
      </w:r>
    </w:p>
    <w:p>
      <w:pPr>
        <w:spacing w:line="360" w:lineRule="auto"/>
        <w:rPr>
          <w:rFonts w:eastAsia="宋体" w:cs="Times New Roman"/>
          <w:b/>
          <w:bCs/>
          <w:sz w:val="24"/>
        </w:rPr>
      </w:pPr>
      <w:r>
        <w:rPr>
          <w:rFonts w:eastAsia="宋体" w:cs="Times New Roman"/>
          <w:b/>
          <w:bCs/>
          <w:sz w:val="24"/>
        </w:rPr>
        <w:t>10、《固定式钢梯及平台安全要求 第2部分：钢斜梯》GB4053.2-2009；</w:t>
      </w:r>
    </w:p>
    <w:p>
      <w:pPr>
        <w:spacing w:line="360" w:lineRule="auto"/>
        <w:rPr>
          <w:rFonts w:eastAsia="宋体" w:cs="Times New Roman"/>
          <w:b/>
          <w:bCs/>
          <w:sz w:val="24"/>
        </w:rPr>
      </w:pPr>
      <w:r>
        <w:rPr>
          <w:rFonts w:eastAsia="宋体" w:cs="Times New Roman"/>
          <w:b/>
          <w:bCs/>
          <w:sz w:val="24"/>
        </w:rPr>
        <w:t>11、《固定式钢梯及平台安全要求 第3部分：工业防护栏杆及钢平台》GB4053.3-2009；</w:t>
      </w:r>
    </w:p>
    <w:p>
      <w:pPr>
        <w:spacing w:line="360" w:lineRule="auto"/>
        <w:rPr>
          <w:rFonts w:eastAsia="宋体" w:cs="Times New Roman"/>
          <w:b/>
          <w:bCs/>
          <w:sz w:val="24"/>
        </w:rPr>
      </w:pPr>
      <w:r>
        <w:rPr>
          <w:rFonts w:eastAsia="宋体" w:cs="Times New Roman"/>
          <w:b/>
          <w:bCs/>
          <w:sz w:val="24"/>
        </w:rPr>
        <w:t>12、《便携式金属梯安全要求》GB12142-2007；</w:t>
      </w:r>
    </w:p>
    <w:p>
      <w:pPr>
        <w:spacing w:line="360" w:lineRule="auto"/>
        <w:rPr>
          <w:rFonts w:eastAsia="黑体" w:cs="Times New Roman"/>
          <w:sz w:val="28"/>
          <w:szCs w:val="28"/>
        </w:rPr>
      </w:pPr>
      <w:r>
        <w:rPr>
          <w:rFonts w:eastAsia="宋体" w:cs="Times New Roman"/>
          <w:b/>
          <w:bCs/>
          <w:sz w:val="24"/>
        </w:rPr>
        <w:t>13、《建筑设计防火规范》GB50016-2014（2018版）。</w:t>
      </w:r>
    </w:p>
    <w:p>
      <w:pPr>
        <w:adjustRightInd w:val="0"/>
        <w:snapToGrid w:val="0"/>
        <w:spacing w:line="360" w:lineRule="auto"/>
        <w:contextualSpacing/>
        <w:jc w:val="center"/>
        <w:outlineLvl w:val="0"/>
        <w:rPr>
          <w:rFonts w:eastAsia="黑体" w:cs="Times New Roman"/>
          <w:sz w:val="28"/>
          <w:szCs w:val="28"/>
        </w:rPr>
      </w:pPr>
      <w:bookmarkStart w:id="25" w:name="_Toc8030"/>
      <w:r>
        <w:rPr>
          <w:rFonts w:eastAsia="黑体" w:cs="Times New Roman"/>
          <w:sz w:val="28"/>
          <w:szCs w:val="28"/>
        </w:rPr>
        <w:t>第七章 作业安全</w:t>
      </w:r>
      <w:bookmarkEnd w:id="25"/>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一、生产现场管理和生产过程控制</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（一）企业应加强生产现场安全管理和生产过程的控制。对生产过程及物料、设备设施、器材、通道、作业环境等存在的隐患，应进行分析和控制；</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1.严禁架空电线跨越爆炸和火灾危险场所。</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2.非经允许，禁止与生产无关人员进入生产操作现场。应划出非岗位操作人员行走的安全路线。</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bookmarkStart w:id="26" w:name="_Hlk93586378"/>
      <w:r>
        <w:rPr>
          <w:rFonts w:hint="eastAsia" w:cs="楷体" w:asciiTheme="minorEastAsia" w:hAnsiTheme="minorEastAsia" w:eastAsiaTheme="minorEastAsia"/>
          <w:sz w:val="24"/>
        </w:rPr>
        <w:t>释义：</w:t>
      </w:r>
    </w:p>
    <w:p>
      <w:pPr>
        <w:adjustRightInd w:val="0"/>
        <w:snapToGrid w:val="0"/>
        <w:spacing w:line="360" w:lineRule="auto"/>
        <w:ind w:firstLine="420" w:firstLineChars="200"/>
        <w:contextualSpacing/>
        <w:jc w:val="center"/>
        <w:rPr>
          <w:rFonts w:asciiTheme="minorEastAsia" w:hAnsiTheme="minorEastAsia" w:eastAsiaTheme="minorEastAsia"/>
          <w:sz w:val="24"/>
        </w:rPr>
      </w:pPr>
      <w:r>
        <w:rPr>
          <w:rFonts w:ascii="等线" w:hAnsi="等线" w:eastAsia="等线" w:cs="Times New Roman"/>
          <w:sz w:val="21"/>
          <w:szCs w:val="22"/>
        </w:rPr>
        <w:drawing>
          <wp:inline distT="0" distB="0" distL="0" distR="0">
            <wp:extent cx="2577465" cy="1837690"/>
            <wp:effectExtent l="0" t="0" r="0" b="0"/>
            <wp:docPr id="7215" name="图片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 name="图片 72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2629071" cy="1874598"/>
                    </a:xfrm>
                    <a:prstGeom prst="rect">
                      <a:avLst/>
                    </a:prstGeom>
                    <a:noFill/>
                  </pic:spPr>
                </pic:pic>
              </a:graphicData>
            </a:graphic>
          </wp:inline>
        </w:drawing>
      </w:r>
    </w:p>
    <w:p>
      <w:pPr>
        <w:spacing w:after="120"/>
        <w:jc w:val="center"/>
        <w:rPr>
          <w:rFonts w:eastAsia="宋体" w:cs="Times New Roman"/>
          <w:sz w:val="21"/>
          <w:szCs w:val="15"/>
        </w:rPr>
      </w:pPr>
      <w:r>
        <w:rPr>
          <w:rFonts w:eastAsia="宋体" w:cs="Times New Roman"/>
          <w:sz w:val="21"/>
          <w:szCs w:val="15"/>
        </w:rPr>
        <w:t>图7.1-1 车间安全路线图</w:t>
      </w:r>
    </w:p>
    <w:bookmarkEnd w:id="26"/>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3.行灯电压不应大于36V，在金属容器内或潮湿场所，则电压不应大于12V。</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p>
      <w:pPr>
        <w:adjustRightInd w:val="0"/>
        <w:snapToGrid w:val="0"/>
        <w:spacing w:line="360" w:lineRule="auto"/>
        <w:ind w:firstLine="480" w:firstLineChars="200"/>
        <w:contextualSpacing/>
        <w:rPr>
          <w:rFonts w:cs="Times New Roman" w:eastAsiaTheme="minorEastAsia"/>
          <w:sz w:val="24"/>
        </w:rPr>
      </w:pPr>
      <w:r>
        <w:rPr>
          <w:rFonts w:hint="eastAsia" w:cs="Times New Roman" w:eastAsiaTheme="minorEastAsia"/>
          <w:sz w:val="24"/>
        </w:rPr>
        <w:t>根据《电业安全工作规程》(热力和机械部分)和有关规定，为了保证检修人员的工作安全，工作人员所使用的手提照明灯除用橡胶绝缘手柄外。对其照明电压应是安全电压，即一般场所工作的为36V，潮湿场所工作为12V，在金属容器内(如锅炉汽包内)工作的应为12V及以下。照明手提灯称为行灯，对其供电的220V/36V，或220V/24V，或220V/12V，或220V/6V的电源变压器称行灯变压器。行灯变压器的外壳应可靠接地，且不准使用自耦变压器。</w:t>
      </w:r>
    </w:p>
    <w:p>
      <w:pPr>
        <w:adjustRightInd w:val="0"/>
        <w:snapToGrid w:val="0"/>
        <w:spacing w:line="360" w:lineRule="auto"/>
        <w:ind w:firstLine="480" w:firstLineChars="200"/>
        <w:contextualSpacing/>
        <w:jc w:val="center"/>
        <w:rPr>
          <w:rFonts w:asciiTheme="minorEastAsia" w:hAnsiTheme="minorEastAsia" w:eastAsiaTheme="minorEastAsia"/>
          <w:sz w:val="24"/>
        </w:rPr>
      </w:pPr>
      <w:r>
        <w:rPr>
          <w:rFonts w:asciiTheme="minorEastAsia" w:hAnsiTheme="minorEastAsia" w:eastAsiaTheme="minorEastAsia"/>
          <w:sz w:val="24"/>
        </w:rPr>
        <w:drawing>
          <wp:inline distT="0" distB="0" distL="0" distR="0">
            <wp:extent cx="2233295" cy="1933575"/>
            <wp:effectExtent l="0" t="0" r="0" b="9525"/>
            <wp:docPr id="31013" name="图片 3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3" name="图片 310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239383" cy="1939297"/>
                    </a:xfrm>
                    <a:prstGeom prst="rect">
                      <a:avLst/>
                    </a:prstGeom>
                    <a:noFill/>
                  </pic:spPr>
                </pic:pic>
              </a:graphicData>
            </a:graphic>
          </wp:inline>
        </w:drawing>
      </w:r>
    </w:p>
    <w:p>
      <w:pPr>
        <w:spacing w:after="120"/>
        <w:jc w:val="center"/>
        <w:rPr>
          <w:rFonts w:eastAsia="宋体" w:cs="Times New Roman"/>
          <w:sz w:val="21"/>
          <w:szCs w:val="15"/>
        </w:rPr>
      </w:pPr>
      <w:bookmarkStart w:id="27" w:name="_Hlk93588753"/>
      <w:r>
        <w:rPr>
          <w:rFonts w:eastAsia="宋体" w:cs="Times New Roman"/>
          <w:sz w:val="21"/>
          <w:szCs w:val="15"/>
        </w:rPr>
        <w:t xml:space="preserve">图7.1-2 </w:t>
      </w:r>
      <w:r>
        <w:rPr>
          <w:rFonts w:hint="eastAsia" w:eastAsia="宋体" w:cs="Times New Roman"/>
          <w:sz w:val="21"/>
          <w:szCs w:val="15"/>
        </w:rPr>
        <w:t>行灯示例</w:t>
      </w:r>
      <w:r>
        <w:rPr>
          <w:rFonts w:eastAsia="宋体" w:cs="Times New Roman"/>
          <w:sz w:val="21"/>
          <w:szCs w:val="15"/>
        </w:rPr>
        <w:t>图</w:t>
      </w:r>
    </w:p>
    <w:bookmarkEnd w:id="27"/>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4.设应急照明，正常照明中断时，应急照明应能自动启动。</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5.易燃、可燃或有毒介质导管不应直接进入仪表操作室或有人值守、休息的房间，应通过变送器把信号引进仪表操作室。</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6.建立对</w:t>
      </w:r>
      <w:bookmarkStart w:id="28" w:name="_Hlk92015847"/>
      <w:r>
        <w:rPr>
          <w:rFonts w:cs="Times New Roman" w:eastAsiaTheme="minorEastAsia"/>
          <w:sz w:val="24"/>
        </w:rPr>
        <w:t>“三违”行为的管理制度</w:t>
      </w:r>
      <w:bookmarkEnd w:id="28"/>
      <w:r>
        <w:rPr>
          <w:rFonts w:cs="Times New Roman" w:eastAsiaTheme="minorEastAsia"/>
          <w:sz w:val="24"/>
        </w:rPr>
        <w:t>，明确监控的责任、方法、记录、考核等事项。</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
          </w:tcPr>
          <w:p>
            <w:pPr>
              <w:pStyle w:val="2"/>
              <w:spacing w:after="0"/>
              <w:jc w:val="center"/>
              <w:rPr>
                <w:sz w:val="21"/>
                <w:szCs w:val="21"/>
              </w:rPr>
            </w:pPr>
            <w:r>
              <w:rPr>
                <w:rFonts w:hint="eastAsia"/>
                <w:sz w:val="21"/>
                <w:szCs w:val="21"/>
              </w:rPr>
              <w:t>三违行为管理制度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tcPr>
          <w:p>
            <w:pPr>
              <w:pStyle w:val="2"/>
              <w:spacing w:after="0"/>
              <w:rPr>
                <w:sz w:val="21"/>
                <w:szCs w:val="21"/>
              </w:rPr>
            </w:pPr>
            <w:r>
              <w:rPr>
                <w:rFonts w:hint="eastAsia"/>
                <w:sz w:val="21"/>
                <w:szCs w:val="21"/>
              </w:rPr>
              <w:t>1．范围</w:t>
            </w:r>
          </w:p>
          <w:p>
            <w:pPr>
              <w:pStyle w:val="2"/>
              <w:spacing w:after="0"/>
              <w:rPr>
                <w:sz w:val="21"/>
                <w:szCs w:val="21"/>
              </w:rPr>
            </w:pPr>
            <w:r>
              <w:rPr>
                <w:rFonts w:hint="eastAsia"/>
                <w:sz w:val="21"/>
                <w:szCs w:val="21"/>
              </w:rPr>
              <w:t>2．引用文件</w:t>
            </w:r>
          </w:p>
          <w:p>
            <w:pPr>
              <w:pStyle w:val="2"/>
              <w:spacing w:after="0"/>
              <w:rPr>
                <w:sz w:val="21"/>
                <w:szCs w:val="21"/>
              </w:rPr>
            </w:pPr>
            <w:r>
              <w:rPr>
                <w:rFonts w:hint="eastAsia"/>
                <w:sz w:val="21"/>
                <w:szCs w:val="21"/>
              </w:rPr>
              <w:t>3．术语与定义</w:t>
            </w:r>
          </w:p>
        </w:tc>
        <w:tc>
          <w:tcPr>
            <w:tcW w:w="2500" w:type="pct"/>
          </w:tcPr>
          <w:p>
            <w:pPr>
              <w:pStyle w:val="2"/>
              <w:spacing w:after="0"/>
              <w:rPr>
                <w:sz w:val="21"/>
                <w:szCs w:val="21"/>
              </w:rPr>
            </w:pPr>
            <w:r>
              <w:rPr>
                <w:rFonts w:hint="eastAsia"/>
                <w:sz w:val="21"/>
                <w:szCs w:val="21"/>
              </w:rPr>
              <w:t>4．职责</w:t>
            </w:r>
          </w:p>
          <w:p>
            <w:pPr>
              <w:pStyle w:val="2"/>
              <w:spacing w:after="0"/>
              <w:rPr>
                <w:sz w:val="21"/>
                <w:szCs w:val="21"/>
              </w:rPr>
            </w:pPr>
            <w:r>
              <w:rPr>
                <w:rFonts w:hint="eastAsia"/>
                <w:sz w:val="21"/>
                <w:szCs w:val="21"/>
              </w:rPr>
              <w:t>5．管理内容与要求</w:t>
            </w:r>
          </w:p>
          <w:p>
            <w:pPr>
              <w:pStyle w:val="2"/>
              <w:spacing w:after="0"/>
              <w:rPr>
                <w:sz w:val="21"/>
                <w:szCs w:val="21"/>
              </w:rPr>
            </w:pPr>
            <w:r>
              <w:rPr>
                <w:rFonts w:hint="eastAsia"/>
                <w:sz w:val="21"/>
                <w:szCs w:val="21"/>
              </w:rPr>
              <w:t>6．检查与考核</w:t>
            </w:r>
          </w:p>
        </w:tc>
      </w:tr>
    </w:tbl>
    <w:p>
      <w:pPr>
        <w:spacing w:after="120"/>
        <w:jc w:val="center"/>
        <w:rPr>
          <w:rFonts w:eastAsia="宋体" w:cs="Times New Roman"/>
          <w:sz w:val="21"/>
          <w:szCs w:val="21"/>
        </w:rPr>
      </w:pPr>
      <w:r>
        <w:rPr>
          <w:rFonts w:eastAsia="宋体" w:cs="Times New Roman"/>
          <w:sz w:val="21"/>
          <w:szCs w:val="21"/>
        </w:rPr>
        <w:t xml:space="preserve">图7.1-3  </w:t>
      </w:r>
      <w:r>
        <w:rPr>
          <w:rFonts w:hint="eastAsia" w:eastAsia="宋体" w:cs="Times New Roman"/>
          <w:sz w:val="21"/>
          <w:szCs w:val="21"/>
        </w:rPr>
        <w:t>三违行为管理制度要求</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二）对动火作业、受限空间内作业、临时用电作业、高处作业等危险性较高的作业活动实施作业许可管理，严格履行审批手续。作业许可证应包含危害因素分析和安全措施等内容。企业进行爆破、吊装等危险作业时，应当安全专人进行现场安全管理，确保安全规程的遵守和安全措施的落实；（纳入安全可视化管理）</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1.建立至少包括下列</w:t>
      </w:r>
      <w:bookmarkStart w:id="29" w:name="_Hlk92016953"/>
      <w:r>
        <w:rPr>
          <w:rFonts w:cs="Times New Roman" w:eastAsiaTheme="minorEastAsia"/>
          <w:sz w:val="24"/>
        </w:rPr>
        <w:t>危险作业的安全管理制度</w:t>
      </w:r>
      <w:bookmarkEnd w:id="29"/>
      <w:r>
        <w:rPr>
          <w:rFonts w:cs="Times New Roman" w:eastAsiaTheme="minorEastAsia"/>
          <w:sz w:val="24"/>
        </w:rPr>
        <w:t>，明确责任部门、人员、许可范围、审批程序、许可签发人员等：</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（1）危险区域动火作业；</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（2）进入受限空间作业；</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（3）能源介质作业；</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（4）高处作业；</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（5）大型吊装作业；</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（6）交叉作业；</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（7）其他危险作业。</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6"/>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3" w:type="dxa"/>
            <w:gridSpan w:val="2"/>
          </w:tcPr>
          <w:p>
            <w:pPr>
              <w:pStyle w:val="2"/>
              <w:spacing w:after="0"/>
              <w:jc w:val="center"/>
              <w:rPr>
                <w:sz w:val="21"/>
                <w:szCs w:val="21"/>
              </w:rPr>
            </w:pPr>
            <w:bookmarkStart w:id="30" w:name="_Hlk93603358"/>
            <w:r>
              <w:rPr>
                <w:rFonts w:hint="eastAsia"/>
                <w:sz w:val="21"/>
                <w:szCs w:val="21"/>
              </w:rPr>
              <w:t>危险作业管理制度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pStyle w:val="2"/>
              <w:spacing w:after="0"/>
              <w:rPr>
                <w:sz w:val="21"/>
                <w:szCs w:val="21"/>
              </w:rPr>
            </w:pPr>
            <w:r>
              <w:rPr>
                <w:rFonts w:hint="eastAsia"/>
                <w:sz w:val="21"/>
                <w:szCs w:val="21"/>
              </w:rPr>
              <w:t>1．目的</w:t>
            </w:r>
          </w:p>
          <w:p>
            <w:pPr>
              <w:pStyle w:val="2"/>
              <w:spacing w:after="0"/>
              <w:rPr>
                <w:sz w:val="21"/>
                <w:szCs w:val="21"/>
              </w:rPr>
            </w:pPr>
            <w:r>
              <w:rPr>
                <w:rFonts w:hint="eastAsia"/>
                <w:sz w:val="21"/>
                <w:szCs w:val="21"/>
              </w:rPr>
              <w:t>2．适用范围</w:t>
            </w:r>
          </w:p>
          <w:p>
            <w:pPr>
              <w:pStyle w:val="2"/>
              <w:spacing w:after="0"/>
              <w:rPr>
                <w:sz w:val="21"/>
                <w:szCs w:val="21"/>
              </w:rPr>
            </w:pPr>
            <w:r>
              <w:rPr>
                <w:rFonts w:hint="eastAsia"/>
                <w:sz w:val="21"/>
                <w:szCs w:val="21"/>
              </w:rPr>
              <w:t>3．定义</w:t>
            </w:r>
          </w:p>
          <w:p>
            <w:pPr>
              <w:pStyle w:val="2"/>
              <w:spacing w:after="0"/>
              <w:rPr>
                <w:sz w:val="21"/>
                <w:szCs w:val="21"/>
              </w:rPr>
            </w:pPr>
            <w:r>
              <w:rPr>
                <w:sz w:val="21"/>
                <w:szCs w:val="21"/>
              </w:rPr>
              <w:t>4</w:t>
            </w:r>
            <w:r>
              <w:rPr>
                <w:rFonts w:hint="eastAsia"/>
                <w:sz w:val="21"/>
                <w:szCs w:val="21"/>
              </w:rPr>
              <w:t>. 职责</w:t>
            </w:r>
          </w:p>
          <w:p>
            <w:pPr>
              <w:pStyle w:val="2"/>
              <w:spacing w:after="0"/>
              <w:rPr>
                <w:sz w:val="21"/>
                <w:szCs w:val="21"/>
              </w:rPr>
            </w:pPr>
            <w:r>
              <w:rPr>
                <w:sz w:val="21"/>
                <w:szCs w:val="21"/>
              </w:rPr>
              <w:t>5</w:t>
            </w:r>
            <w:r>
              <w:rPr>
                <w:rFonts w:hint="eastAsia"/>
                <w:sz w:val="21"/>
                <w:szCs w:val="21"/>
              </w:rPr>
              <w:t>. 危险作业的管理</w:t>
            </w:r>
          </w:p>
        </w:tc>
        <w:tc>
          <w:tcPr>
            <w:tcW w:w="3057" w:type="dxa"/>
          </w:tcPr>
          <w:p>
            <w:pPr>
              <w:pStyle w:val="2"/>
              <w:spacing w:after="0"/>
              <w:rPr>
                <w:sz w:val="21"/>
                <w:szCs w:val="21"/>
              </w:rPr>
            </w:pPr>
            <w:r>
              <w:rPr>
                <w:sz w:val="21"/>
                <w:szCs w:val="21"/>
              </w:rPr>
              <w:t>5</w:t>
            </w:r>
            <w:r>
              <w:rPr>
                <w:rFonts w:hint="eastAsia"/>
                <w:sz w:val="21"/>
                <w:szCs w:val="21"/>
              </w:rPr>
              <w:t>.1 危险作业管理的原则</w:t>
            </w:r>
          </w:p>
          <w:p>
            <w:pPr>
              <w:pStyle w:val="2"/>
              <w:spacing w:after="0"/>
              <w:rPr>
                <w:sz w:val="21"/>
                <w:szCs w:val="21"/>
              </w:rPr>
            </w:pPr>
            <w:r>
              <w:rPr>
                <w:sz w:val="21"/>
                <w:szCs w:val="21"/>
              </w:rPr>
              <w:t>5</w:t>
            </w:r>
            <w:r>
              <w:rPr>
                <w:rFonts w:hint="eastAsia"/>
                <w:sz w:val="21"/>
                <w:szCs w:val="21"/>
              </w:rPr>
              <w:t>.2 审批、监督管理</w:t>
            </w:r>
          </w:p>
          <w:p>
            <w:pPr>
              <w:pStyle w:val="2"/>
              <w:spacing w:after="0"/>
              <w:rPr>
                <w:sz w:val="21"/>
                <w:szCs w:val="21"/>
              </w:rPr>
            </w:pPr>
            <w:r>
              <w:rPr>
                <w:sz w:val="21"/>
                <w:szCs w:val="21"/>
              </w:rPr>
              <w:t>6</w:t>
            </w:r>
            <w:r>
              <w:rPr>
                <w:rFonts w:hint="eastAsia"/>
                <w:sz w:val="21"/>
                <w:szCs w:val="21"/>
              </w:rPr>
              <w:t>. 附件</w:t>
            </w:r>
          </w:p>
          <w:p>
            <w:pPr>
              <w:pStyle w:val="2"/>
              <w:spacing w:after="0"/>
              <w:rPr>
                <w:sz w:val="21"/>
                <w:szCs w:val="21"/>
              </w:rPr>
            </w:pPr>
            <w:r>
              <w:rPr>
                <w:rFonts w:hint="eastAsia"/>
                <w:sz w:val="21"/>
                <w:szCs w:val="21"/>
              </w:rPr>
              <w:t>危险作业申请表</w:t>
            </w:r>
          </w:p>
          <w:p>
            <w:pPr>
              <w:pStyle w:val="2"/>
              <w:spacing w:after="0"/>
              <w:rPr>
                <w:sz w:val="21"/>
                <w:szCs w:val="21"/>
              </w:rPr>
            </w:pPr>
            <w:r>
              <w:rPr>
                <w:rFonts w:hint="eastAsia"/>
                <w:sz w:val="21"/>
                <w:szCs w:val="21"/>
              </w:rPr>
              <w:t>危险作业许可证</w:t>
            </w:r>
          </w:p>
        </w:tc>
      </w:tr>
      <w:bookmarkEnd w:id="30"/>
    </w:tbl>
    <w:p>
      <w:pPr>
        <w:spacing w:after="120"/>
        <w:jc w:val="center"/>
        <w:rPr>
          <w:rFonts w:eastAsia="宋体" w:cs="Times New Roman"/>
          <w:sz w:val="21"/>
          <w:szCs w:val="21"/>
        </w:rPr>
      </w:pPr>
      <w:r>
        <w:rPr>
          <w:rFonts w:eastAsia="宋体" w:cs="Times New Roman"/>
          <w:sz w:val="21"/>
          <w:szCs w:val="21"/>
        </w:rPr>
        <w:t xml:space="preserve">图7.1-4  </w:t>
      </w:r>
      <w:r>
        <w:rPr>
          <w:rFonts w:hint="eastAsia" w:eastAsia="宋体" w:cs="Times New Roman"/>
          <w:sz w:val="21"/>
          <w:szCs w:val="21"/>
        </w:rPr>
        <w:t>危险作业管理制度要求</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2.对危险作业的安全管理工作实施作业许可。作业许可证应包含危害因素分析和安全措施等内容。</w:t>
      </w:r>
    </w:p>
    <w:p>
      <w:pPr>
        <w:adjustRightInd w:val="0"/>
        <w:snapToGrid w:val="0"/>
        <w:spacing w:line="360" w:lineRule="auto"/>
        <w:ind w:firstLine="482" w:firstLineChars="200"/>
        <w:contextualSpacing/>
        <w:jc w:val="left"/>
        <w:rPr>
          <w:rFonts w:cs="楷体" w:asciiTheme="minorEastAsia" w:hAnsiTheme="minorEastAsia" w:eastAsiaTheme="minorEastAsia"/>
          <w:b/>
          <w:bCs/>
          <w:sz w:val="24"/>
        </w:rPr>
      </w:pPr>
      <w:r>
        <w:rPr>
          <w:rFonts w:hint="eastAsia" w:cs="楷体" w:asciiTheme="minorEastAsia" w:hAnsiTheme="minorEastAsia" w:eastAsiaTheme="minorEastAsia"/>
          <w:b/>
          <w:bCs/>
          <w:sz w:val="24"/>
        </w:rPr>
        <w:t>释义：</w:t>
      </w:r>
    </w:p>
    <w:p>
      <w:pPr>
        <w:adjustRightInd w:val="0"/>
        <w:snapToGrid w:val="0"/>
        <w:spacing w:line="360" w:lineRule="auto"/>
        <w:ind w:firstLine="480" w:firstLineChars="200"/>
        <w:contextualSpacing/>
        <w:jc w:val="left"/>
        <w:rPr>
          <w:rFonts w:eastAsia="宋体" w:cs="Times New Roman"/>
          <w:sz w:val="24"/>
        </w:rPr>
      </w:pPr>
      <w:r>
        <w:rPr>
          <w:rFonts w:hint="eastAsia" w:ascii="宋体" w:hAnsi="宋体" w:eastAsia="宋体" w:cs="宋体"/>
          <w:sz w:val="24"/>
        </w:rPr>
        <w:t>①</w:t>
      </w:r>
      <w:r>
        <w:rPr>
          <w:rFonts w:eastAsia="宋体" w:cs="Times New Roman"/>
          <w:sz w:val="24"/>
        </w:rPr>
        <w:t>危险作业票证内容见图</w:t>
      </w:r>
      <w:bookmarkStart w:id="31" w:name="_Hlk93604071"/>
      <w:r>
        <w:rPr>
          <w:rFonts w:eastAsia="宋体" w:cs="Times New Roman"/>
          <w:sz w:val="24"/>
        </w:rPr>
        <w:t>7.1-</w:t>
      </w:r>
      <w:bookmarkEnd w:id="31"/>
      <w:r>
        <w:rPr>
          <w:rFonts w:eastAsia="宋体" w:cs="Times New Roman"/>
          <w:sz w:val="24"/>
        </w:rPr>
        <w:t>5</w:t>
      </w:r>
    </w:p>
    <w:p>
      <w:pPr>
        <w:adjustRightInd w:val="0"/>
        <w:snapToGrid w:val="0"/>
        <w:spacing w:line="360" w:lineRule="auto"/>
        <w:ind w:firstLine="480" w:firstLineChars="200"/>
        <w:contextualSpacing/>
        <w:jc w:val="left"/>
        <w:rPr>
          <w:rFonts w:eastAsia="宋体" w:cs="Times New Roman"/>
          <w:sz w:val="24"/>
        </w:rPr>
      </w:pPr>
      <w:r>
        <w:rPr>
          <w:rFonts w:hint="eastAsia" w:ascii="宋体" w:hAnsi="宋体" w:eastAsia="宋体" w:cs="宋体"/>
          <w:sz w:val="24"/>
        </w:rPr>
        <w:t>②</w:t>
      </w:r>
      <w:r>
        <w:rPr>
          <w:rFonts w:eastAsia="宋体" w:cs="Times New Roman"/>
          <w:sz w:val="24"/>
        </w:rPr>
        <w:t>作业票证的办理、审批和时限要求见图7.1-6</w:t>
      </w:r>
    </w:p>
    <w:p>
      <w:pPr>
        <w:pStyle w:val="2"/>
      </w:pPr>
    </w:p>
    <w:p>
      <w:pPr>
        <w:pStyle w:val="2"/>
      </w:pPr>
    </w:p>
    <w:p>
      <w:pPr>
        <w:pStyle w:val="2"/>
      </w:pPr>
    </w:p>
    <w:p>
      <w:pPr>
        <w:pStyle w:val="2"/>
      </w:pPr>
    </w:p>
    <w:p>
      <w:pPr>
        <w:pStyle w:val="2"/>
      </w:pPr>
    </w:p>
    <w:p>
      <w:pPr>
        <w:pStyle w:val="2"/>
      </w:pPr>
    </w:p>
    <w:p>
      <w:pPr>
        <w:pStyle w:val="2"/>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2" w:type="dxa"/>
            <w:gridSpan w:val="2"/>
          </w:tcPr>
          <w:p>
            <w:pPr>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危险作业票证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2" w:type="dxa"/>
          </w:tcPr>
          <w:p>
            <w:pPr>
              <w:rPr>
                <w:rFonts w:asciiTheme="minorEastAsia" w:hAnsiTheme="minorEastAsia" w:eastAsiaTheme="minorEastAsia"/>
                <w:sz w:val="21"/>
                <w:szCs w:val="21"/>
              </w:rPr>
            </w:pPr>
            <w:r>
              <w:rPr>
                <w:rFonts w:asciiTheme="minorEastAsia" w:hAnsiTheme="minorEastAsia" w:eastAsiaTheme="minorEastAsia"/>
                <w:sz w:val="21"/>
                <w:szCs w:val="21"/>
              </w:rPr>
              <w:drawing>
                <wp:inline distT="0" distB="0" distL="0" distR="0">
                  <wp:extent cx="1876425" cy="2425065"/>
                  <wp:effectExtent l="0" t="0" r="9525" b="0"/>
                  <wp:docPr id="7216" name="图片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 name="图片 7216"/>
                          <pic:cNvPicPr>
                            <a:picLocks noChangeAspect="1"/>
                          </pic:cNvPicPr>
                        </pic:nvPicPr>
                        <pic:blipFill>
                          <a:blip r:embed="rId92"/>
                          <a:stretch>
                            <a:fillRect/>
                          </a:stretch>
                        </pic:blipFill>
                        <pic:spPr>
                          <a:xfrm>
                            <a:off x="0" y="0"/>
                            <a:ext cx="1894516" cy="2448337"/>
                          </a:xfrm>
                          <a:prstGeom prst="rect">
                            <a:avLst/>
                          </a:prstGeom>
                        </pic:spPr>
                      </pic:pic>
                    </a:graphicData>
                  </a:graphic>
                </wp:inline>
              </w:drawing>
            </w:r>
          </w:p>
        </w:tc>
        <w:tc>
          <w:tcPr>
            <w:tcW w:w="6112" w:type="dxa"/>
          </w:tcPr>
          <w:p>
            <w:pPr>
              <w:rPr>
                <w:rFonts w:asciiTheme="minorEastAsia" w:hAnsiTheme="minorEastAsia" w:eastAsiaTheme="minorEastAsia"/>
                <w:sz w:val="21"/>
                <w:szCs w:val="21"/>
              </w:rPr>
            </w:pPr>
            <w:r>
              <w:rPr>
                <w:rFonts w:asciiTheme="minorEastAsia" w:hAnsiTheme="minorEastAsia" w:eastAsiaTheme="minorEastAsia"/>
                <w:sz w:val="21"/>
                <w:szCs w:val="21"/>
              </w:rPr>
              <w:drawing>
                <wp:inline distT="0" distB="0" distL="0" distR="0">
                  <wp:extent cx="1884045" cy="2399665"/>
                  <wp:effectExtent l="0" t="0" r="1905" b="635"/>
                  <wp:docPr id="31015" name="图片 3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5" name="图片 31015"/>
                          <pic:cNvPicPr>
                            <a:picLocks noChangeAspect="1"/>
                          </pic:cNvPicPr>
                        </pic:nvPicPr>
                        <pic:blipFill>
                          <a:blip r:embed="rId93"/>
                          <a:srcRect t="-1" r="2315" b="2244"/>
                          <a:stretch>
                            <a:fillRect/>
                          </a:stretch>
                        </pic:blipFill>
                        <pic:spPr>
                          <a:xfrm>
                            <a:off x="0" y="0"/>
                            <a:ext cx="1898327" cy="2417624"/>
                          </a:xfrm>
                          <a:prstGeom prst="rect">
                            <a:avLst/>
                          </a:prstGeom>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2" w:type="dxa"/>
          </w:tcPr>
          <w:p>
            <w:pPr>
              <w:rPr>
                <w:rFonts w:asciiTheme="minorEastAsia" w:hAnsiTheme="minorEastAsia" w:eastAsiaTheme="minorEastAsia"/>
                <w:sz w:val="21"/>
                <w:szCs w:val="21"/>
              </w:rPr>
            </w:pPr>
            <w:r>
              <w:rPr>
                <w:rFonts w:asciiTheme="minorEastAsia" w:hAnsiTheme="minorEastAsia" w:eastAsiaTheme="minorEastAsia"/>
                <w:sz w:val="21"/>
                <w:szCs w:val="21"/>
              </w:rPr>
              <w:drawing>
                <wp:inline distT="0" distB="0" distL="0" distR="0">
                  <wp:extent cx="1776730" cy="2297430"/>
                  <wp:effectExtent l="0" t="0" r="0" b="7620"/>
                  <wp:docPr id="7217" name="图片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 name="图片 7217"/>
                          <pic:cNvPicPr>
                            <a:picLocks noChangeAspect="1"/>
                          </pic:cNvPicPr>
                        </pic:nvPicPr>
                        <pic:blipFill>
                          <a:blip r:embed="rId94"/>
                          <a:srcRect r="2830" b="1890"/>
                          <a:stretch>
                            <a:fillRect/>
                          </a:stretch>
                        </pic:blipFill>
                        <pic:spPr>
                          <a:xfrm>
                            <a:off x="0" y="0"/>
                            <a:ext cx="1790537" cy="2314828"/>
                          </a:xfrm>
                          <a:prstGeom prst="rect">
                            <a:avLst/>
                          </a:prstGeom>
                          <a:ln>
                            <a:noFill/>
                          </a:ln>
                        </pic:spPr>
                      </pic:pic>
                    </a:graphicData>
                  </a:graphic>
                </wp:inline>
              </w:drawing>
            </w:r>
          </w:p>
        </w:tc>
        <w:tc>
          <w:tcPr>
            <w:tcW w:w="6112" w:type="dxa"/>
          </w:tcPr>
          <w:p>
            <w:pPr>
              <w:rPr>
                <w:rFonts w:asciiTheme="minorEastAsia" w:hAnsiTheme="minorEastAsia" w:eastAsiaTheme="minorEastAsia"/>
                <w:sz w:val="21"/>
                <w:szCs w:val="21"/>
              </w:rPr>
            </w:pPr>
            <w:r>
              <w:rPr>
                <w:rFonts w:asciiTheme="minorEastAsia" w:hAnsiTheme="minorEastAsia" w:eastAsiaTheme="minorEastAsia"/>
                <w:sz w:val="21"/>
                <w:szCs w:val="21"/>
              </w:rPr>
              <w:drawing>
                <wp:inline distT="0" distB="0" distL="0" distR="0">
                  <wp:extent cx="1787525" cy="2277745"/>
                  <wp:effectExtent l="0" t="0" r="3175" b="8255"/>
                  <wp:docPr id="7218" name="图片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 name="图片 7218"/>
                          <pic:cNvPicPr>
                            <a:picLocks noChangeAspect="1"/>
                          </pic:cNvPicPr>
                        </pic:nvPicPr>
                        <pic:blipFill>
                          <a:blip r:embed="rId95"/>
                          <a:srcRect l="3196" t="1591" r="2884" b="3153"/>
                          <a:stretch>
                            <a:fillRect/>
                          </a:stretch>
                        </pic:blipFill>
                        <pic:spPr>
                          <a:xfrm>
                            <a:off x="0" y="0"/>
                            <a:ext cx="1800771" cy="2294132"/>
                          </a:xfrm>
                          <a:prstGeom prst="rect">
                            <a:avLst/>
                          </a:prstGeom>
                          <a:ln>
                            <a:noFill/>
                          </a:ln>
                        </pic:spPr>
                      </pic:pic>
                    </a:graphicData>
                  </a:graphic>
                </wp:inline>
              </w:drawing>
            </w:r>
          </w:p>
        </w:tc>
      </w:tr>
    </w:tbl>
    <w:p>
      <w:pPr>
        <w:pStyle w:val="2"/>
      </w:pPr>
    </w:p>
    <w:p>
      <w:pPr>
        <w:pStyle w:val="2"/>
      </w:pPr>
    </w:p>
    <w:p>
      <w:pPr>
        <w:pStyle w:val="2"/>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02"/>
        <w:gridCol w:w="3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9" w:type="dxa"/>
          </w:tcPr>
          <w:p>
            <w:pPr>
              <w:pStyle w:val="2"/>
              <w:spacing w:after="0"/>
            </w:pPr>
            <w:r>
              <w:drawing>
                <wp:inline distT="0" distB="0" distL="0" distR="0">
                  <wp:extent cx="1832610" cy="2431415"/>
                  <wp:effectExtent l="0" t="0" r="0" b="6985"/>
                  <wp:docPr id="7221" name="图片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 name="图片 7221"/>
                          <pic:cNvPicPr>
                            <a:picLocks noChangeAspect="1"/>
                          </pic:cNvPicPr>
                        </pic:nvPicPr>
                        <pic:blipFill>
                          <a:blip r:embed="rId96"/>
                          <a:srcRect l="1454" t="-1" r="3011" b="905"/>
                          <a:stretch>
                            <a:fillRect/>
                          </a:stretch>
                        </pic:blipFill>
                        <pic:spPr>
                          <a:xfrm>
                            <a:off x="0" y="0"/>
                            <a:ext cx="1841244" cy="2442926"/>
                          </a:xfrm>
                          <a:prstGeom prst="rect">
                            <a:avLst/>
                          </a:prstGeom>
                          <a:ln>
                            <a:noFill/>
                          </a:ln>
                        </pic:spPr>
                      </pic:pic>
                    </a:graphicData>
                  </a:graphic>
                </wp:inline>
              </w:drawing>
            </w:r>
          </w:p>
        </w:tc>
        <w:tc>
          <w:tcPr>
            <w:tcW w:w="3054" w:type="dxa"/>
          </w:tcPr>
          <w:p>
            <w:pPr>
              <w:pStyle w:val="2"/>
              <w:spacing w:after="0"/>
            </w:pPr>
            <w:r>
              <w:drawing>
                <wp:inline distT="0" distB="0" distL="0" distR="0">
                  <wp:extent cx="1829435" cy="2421255"/>
                  <wp:effectExtent l="0" t="0" r="0" b="0"/>
                  <wp:docPr id="7222" name="图片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 name="图片 7222"/>
                          <pic:cNvPicPr>
                            <a:picLocks noChangeAspect="1"/>
                          </pic:cNvPicPr>
                        </pic:nvPicPr>
                        <pic:blipFill>
                          <a:blip r:embed="rId97"/>
                          <a:srcRect l="3180" t="1180" r="3285" b="371"/>
                          <a:stretch>
                            <a:fillRect/>
                          </a:stretch>
                        </pic:blipFill>
                        <pic:spPr>
                          <a:xfrm>
                            <a:off x="0" y="0"/>
                            <a:ext cx="1852594" cy="2452447"/>
                          </a:xfrm>
                          <a:prstGeom prst="rect">
                            <a:avLst/>
                          </a:prstGeom>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59" w:type="dxa"/>
          </w:tcPr>
          <w:p>
            <w:pPr>
              <w:pStyle w:val="2"/>
              <w:spacing w:after="0"/>
            </w:pPr>
            <w:r>
              <w:drawing>
                <wp:inline distT="0" distB="0" distL="0" distR="0">
                  <wp:extent cx="1800225" cy="2308225"/>
                  <wp:effectExtent l="0" t="0" r="9525" b="0"/>
                  <wp:docPr id="7223" name="图片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 name="图片 7223"/>
                          <pic:cNvPicPr>
                            <a:picLocks noChangeAspect="1"/>
                          </pic:cNvPicPr>
                        </pic:nvPicPr>
                        <pic:blipFill>
                          <a:blip r:embed="rId98"/>
                          <a:srcRect l="3471" t="335" r="4006" b="2587"/>
                          <a:stretch>
                            <a:fillRect/>
                          </a:stretch>
                        </pic:blipFill>
                        <pic:spPr>
                          <a:xfrm>
                            <a:off x="0" y="0"/>
                            <a:ext cx="1815180" cy="2327289"/>
                          </a:xfrm>
                          <a:prstGeom prst="rect">
                            <a:avLst/>
                          </a:prstGeom>
                          <a:ln>
                            <a:noFill/>
                          </a:ln>
                        </pic:spPr>
                      </pic:pic>
                    </a:graphicData>
                  </a:graphic>
                </wp:inline>
              </w:drawing>
            </w:r>
          </w:p>
        </w:tc>
        <w:tc>
          <w:tcPr>
            <w:tcW w:w="3054" w:type="dxa"/>
          </w:tcPr>
          <w:p>
            <w:pPr>
              <w:pStyle w:val="2"/>
              <w:spacing w:after="0"/>
            </w:pPr>
            <w:r>
              <w:drawing>
                <wp:inline distT="0" distB="0" distL="0" distR="0">
                  <wp:extent cx="1796415" cy="2320290"/>
                  <wp:effectExtent l="0" t="0" r="0" b="3810"/>
                  <wp:docPr id="31021" name="图片 3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1" name="图片 31021"/>
                          <pic:cNvPicPr>
                            <a:picLocks noChangeAspect="1"/>
                          </pic:cNvPicPr>
                        </pic:nvPicPr>
                        <pic:blipFill>
                          <a:blip r:embed="rId99"/>
                          <a:srcRect l="1691" t="-341" r="2717" b="648"/>
                          <a:stretch>
                            <a:fillRect/>
                          </a:stretch>
                        </pic:blipFill>
                        <pic:spPr>
                          <a:xfrm>
                            <a:off x="0" y="0"/>
                            <a:ext cx="1819195" cy="2349937"/>
                          </a:xfrm>
                          <a:prstGeom prst="rect">
                            <a:avLst/>
                          </a:prstGeom>
                          <a:ln>
                            <a:noFill/>
                          </a:ln>
                        </pic:spPr>
                      </pic:pic>
                    </a:graphicData>
                  </a:graphic>
                </wp:inline>
              </w:drawing>
            </w:r>
          </w:p>
        </w:tc>
      </w:tr>
    </w:tbl>
    <w:p>
      <w:pPr>
        <w:spacing w:after="120"/>
        <w:jc w:val="center"/>
        <w:rPr>
          <w:rFonts w:eastAsia="宋体" w:cs="Times New Roman"/>
          <w:sz w:val="21"/>
          <w:szCs w:val="21"/>
        </w:rPr>
      </w:pPr>
      <w:r>
        <w:rPr>
          <w:rFonts w:eastAsia="宋体" w:cs="Times New Roman"/>
          <w:sz w:val="21"/>
          <w:szCs w:val="21"/>
        </w:rPr>
        <w:t xml:space="preserve">图7.1-5 </w:t>
      </w:r>
      <w:r>
        <w:rPr>
          <w:rFonts w:hint="eastAsia" w:eastAsia="宋体" w:cs="Times New Roman"/>
          <w:sz w:val="21"/>
          <w:szCs w:val="21"/>
        </w:rPr>
        <w:t>危险作业票证要求</w:t>
      </w:r>
    </w:p>
    <w:p>
      <w:pPr>
        <w:pStyle w:val="2"/>
      </w:pPr>
    </w:p>
    <w:p>
      <w:pPr>
        <w:spacing w:after="120"/>
      </w:pPr>
      <w:r>
        <mc:AlternateContent>
          <mc:Choice Requires="wpg">
            <w:drawing>
              <wp:anchor distT="0" distB="0" distL="114300" distR="114300" simplePos="0" relativeHeight="251685888" behindDoc="0" locked="0" layoutInCell="1" allowOverlap="1">
                <wp:simplePos x="0" y="0"/>
                <wp:positionH relativeFrom="column">
                  <wp:posOffset>2545080</wp:posOffset>
                </wp:positionH>
                <wp:positionV relativeFrom="paragraph">
                  <wp:posOffset>161925</wp:posOffset>
                </wp:positionV>
                <wp:extent cx="1637665" cy="2783205"/>
                <wp:effectExtent l="0" t="0" r="19685" b="17145"/>
                <wp:wrapNone/>
                <wp:docPr id="31022" name="组合 31022"/>
                <wp:cNvGraphicFramePr/>
                <a:graphic xmlns:a="http://schemas.openxmlformats.org/drawingml/2006/main">
                  <a:graphicData uri="http://schemas.microsoft.com/office/word/2010/wordprocessingGroup">
                    <wpg:wgp>
                      <wpg:cNvGrpSpPr/>
                      <wpg:grpSpPr>
                        <a:xfrm>
                          <a:off x="0" y="0"/>
                          <a:ext cx="1637665" cy="2783279"/>
                          <a:chOff x="0" y="0"/>
                          <a:chExt cx="1637665" cy="2783279"/>
                        </a:xfrm>
                      </wpg:grpSpPr>
                      <wps:wsp>
                        <wps:cNvPr id="31023" name="对话气泡: 圆角矩形 31023"/>
                        <wps:cNvSpPr/>
                        <wps:spPr>
                          <a:xfrm>
                            <a:off x="0" y="2440379"/>
                            <a:ext cx="1637665" cy="342900"/>
                          </a:xfrm>
                          <a:prstGeom prst="wedgeRoundRectCallout">
                            <a:avLst>
                              <a:gd name="adj1" fmla="val -5706"/>
                              <a:gd name="adj2" fmla="val -174874"/>
                              <a:gd name="adj3" fmla="val 16667"/>
                            </a:avLst>
                          </a:prstGeom>
                          <a:noFill/>
                          <a:ln w="12700" cap="flat" cmpd="sng" algn="ctr">
                            <a:solidFill>
                              <a:srgbClr val="FF0000"/>
                            </a:solidFill>
                            <a:prstDash val="solid"/>
                            <a:miter lim="800000"/>
                          </a:ln>
                          <a:effectLst/>
                        </wps:spPr>
                        <wps:txbx>
                          <w:txbxContent>
                            <w:p>
                              <w:pPr>
                                <w:jc w:val="center"/>
                                <w:rPr>
                                  <w:rFonts w:asciiTheme="minorEastAsia" w:hAnsiTheme="minorEastAsia" w:eastAsiaTheme="minorEastAsia"/>
                                  <w:b/>
                                  <w:bCs/>
                                  <w:color w:val="FF0000"/>
                                  <w:sz w:val="21"/>
                                  <w:szCs w:val="18"/>
                                </w:rPr>
                              </w:pPr>
                              <w:r>
                                <w:rPr>
                                  <w:rFonts w:hint="eastAsia" w:asciiTheme="minorEastAsia" w:hAnsiTheme="minorEastAsia" w:eastAsiaTheme="minorEastAsia"/>
                                  <w:b/>
                                  <w:bCs/>
                                  <w:color w:val="FF0000"/>
                                  <w:sz w:val="21"/>
                                  <w:szCs w:val="21"/>
                                </w:rPr>
                                <w:t>根据企业</w:t>
                              </w:r>
                              <w:r>
                                <w:rPr>
                                  <w:rFonts w:hint="eastAsia" w:asciiTheme="minorEastAsia" w:hAnsiTheme="minorEastAsia" w:eastAsiaTheme="minorEastAsia"/>
                                  <w:b/>
                                  <w:bCs/>
                                  <w:color w:val="FF0000"/>
                                  <w:sz w:val="21"/>
                                  <w:szCs w:val="18"/>
                                </w:rPr>
                                <w:t>实际情况填写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1024" name="椭圆 31024"/>
                        <wps:cNvSpPr/>
                        <wps:spPr>
                          <a:xfrm>
                            <a:off x="338447" y="0"/>
                            <a:ext cx="881062" cy="203358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00.4pt;margin-top:12.75pt;height:219.15pt;width:128.95pt;z-index:251685888;mso-width-relative:page;mso-height-relative:page;" coordsize="1637665,2783279" o:gfxdata="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">
                <o:lock v:ext="edit" aspectratio="f"/>
                <v:shape id="对话气泡: 圆角矩形 31023" o:spid="_x0000_s1026" o:spt="62" type="#_x0000_t62" style="position:absolute;left:0;top:2440379;height:342900;width:1637665;v-text-anchor:middle;" filled="f" stroked="t" coordsize="21600,21600" o:gfxdata="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8gwi/&#10;AAAA3gAAAA8AAAAAAAAAAQAgAAAAIgAAAGRycy9kb3ducmV2LnhtbFBLAQIUABQAAAAIAIdO4kAz&#10;LwWeOwAAADkAAAAQAAAAAAAAAAEAIAAAAA4BAABkcnMvc2hhcGV4bWwueG1sUEsFBgAAAAAGAAYA&#10;WwEAALgDAAAAAA==&#10;" adj="9568,-26973,14400">
                  <v:fill on="f" focussize="0,0"/>
                  <v:stroke weight="1pt" color="#FF0000" miterlimit="8" joinstyle="miter"/>
                  <v:imagedata o:title=""/>
                  <o:lock v:ext="edit" aspectratio="f"/>
                  <v:textbox>
                    <w:txbxContent>
                      <w:p>
                        <w:pPr>
                          <w:jc w:val="center"/>
                          <w:rPr>
                            <w:rFonts w:asciiTheme="minorEastAsia" w:hAnsiTheme="minorEastAsia" w:eastAsiaTheme="minorEastAsia"/>
                            <w:b/>
                            <w:bCs/>
                            <w:color w:val="FF0000"/>
                            <w:sz w:val="21"/>
                            <w:szCs w:val="18"/>
                          </w:rPr>
                        </w:pPr>
                        <w:r>
                          <w:rPr>
                            <w:rFonts w:hint="eastAsia" w:asciiTheme="minorEastAsia" w:hAnsiTheme="minorEastAsia" w:eastAsiaTheme="minorEastAsia"/>
                            <w:b/>
                            <w:bCs/>
                            <w:color w:val="FF0000"/>
                            <w:sz w:val="21"/>
                            <w:szCs w:val="21"/>
                          </w:rPr>
                          <w:t>根据企业</w:t>
                        </w:r>
                        <w:r>
                          <w:rPr>
                            <w:rFonts w:hint="eastAsia" w:asciiTheme="minorEastAsia" w:hAnsiTheme="minorEastAsia" w:eastAsiaTheme="minorEastAsia"/>
                            <w:b/>
                            <w:bCs/>
                            <w:color w:val="FF0000"/>
                            <w:sz w:val="21"/>
                            <w:szCs w:val="18"/>
                          </w:rPr>
                          <w:t>实际情况填写</w:t>
                        </w:r>
                      </w:p>
                    </w:txbxContent>
                  </v:textbox>
                </v:shape>
                <v:shape id="_x0000_s1026" o:spid="_x0000_s1026" o:spt="3" type="#_x0000_t3" style="position:absolute;left:338447;top:0;height:2033587;width:881062;v-text-anchor:middle;" filled="f" stroked="t" coordsize="21600,21600" o:gfxdata="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L9XTL4A&#10;AADeAAAADwAAAAAAAAABACAAAAAiAAAAZHJzL2Rvd25yZXYueG1sUEsBAhQAFAAAAAgAh07iQDMv&#10;BZ47AAAAOQAAABAAAAAAAAAAAQAgAAAADQEAAGRycy9zaGFwZXhtbC54bWxQSwUGAAAAAAYABgBb&#10;AQAAtwMAAAAA&#10;">
                  <v:fill on="f" focussize="0,0"/>
                  <v:stroke weight="1pt" color="#FF0000" miterlimit="8" joinstyle="miter"/>
                  <v:imagedata o:title=""/>
                  <o:lock v:ext="edit" aspectratio="f"/>
                </v:shape>
              </v:group>
            </w:pict>
          </mc:Fallback>
        </mc:AlternateContent>
      </w:r>
      <w:r>
        <w:drawing>
          <wp:inline distT="0" distB="0" distL="0" distR="0">
            <wp:extent cx="3888105" cy="3628390"/>
            <wp:effectExtent l="0" t="0" r="0" b="0"/>
            <wp:docPr id="31025" name="图片 3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5" name="图片 31025"/>
                    <pic:cNvPicPr>
                      <a:picLocks noChangeAspect="1"/>
                    </pic:cNvPicPr>
                  </pic:nvPicPr>
                  <pic:blipFill>
                    <a:blip r:embed="rId100"/>
                    <a:stretch>
                      <a:fillRect/>
                    </a:stretch>
                  </pic:blipFill>
                  <pic:spPr>
                    <a:xfrm>
                      <a:off x="0" y="0"/>
                      <a:ext cx="3888105" cy="3628390"/>
                    </a:xfrm>
                    <a:prstGeom prst="rect">
                      <a:avLst/>
                    </a:prstGeom>
                  </pic:spPr>
                </pic:pic>
              </a:graphicData>
            </a:graphic>
          </wp:inline>
        </w:drawing>
      </w:r>
    </w:p>
    <w:p>
      <w:pPr>
        <w:spacing w:after="120"/>
        <w:jc w:val="center"/>
        <w:rPr>
          <w:rFonts w:eastAsia="宋体" w:cs="Times New Roman"/>
          <w:sz w:val="21"/>
          <w:szCs w:val="21"/>
        </w:rPr>
      </w:pPr>
      <w:r>
        <w:rPr>
          <w:rFonts w:eastAsia="宋体" w:cs="Times New Roman"/>
          <w:sz w:val="21"/>
          <w:szCs w:val="21"/>
        </w:rPr>
        <w:t xml:space="preserve">图7.1-6 </w:t>
      </w:r>
      <w:r>
        <w:rPr>
          <w:rFonts w:hint="eastAsia" w:eastAsia="宋体" w:cs="Times New Roman"/>
          <w:sz w:val="21"/>
          <w:szCs w:val="21"/>
        </w:rPr>
        <w:t>作业票证的办理、审批和时限要求</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二、作业行为管理</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企业应加强生产作业行为的安全管理。对作业行为隐患、设备设施使用隐患、工艺技术隐患等进行分析，采取控制措施；</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1.对生产作业过程中人的不安全行为进行辨识，并制定相应的控制措施。</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p>
      <w:pPr>
        <w:pStyle w:val="2"/>
        <w:jc w:val="center"/>
      </w:pPr>
      <w:r>
        <w:drawing>
          <wp:inline distT="0" distB="0" distL="0" distR="0">
            <wp:extent cx="2966720" cy="2821940"/>
            <wp:effectExtent l="0" t="0" r="5080" b="0"/>
            <wp:docPr id="31026" name="图片 3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6" name="图片 31026"/>
                    <pic:cNvPicPr>
                      <a:picLocks noChangeAspect="1"/>
                    </pic:cNvPicPr>
                  </pic:nvPicPr>
                  <pic:blipFill>
                    <a:blip r:embed="rId101"/>
                    <a:srcRect l="3798" r="4696"/>
                    <a:stretch>
                      <a:fillRect/>
                    </a:stretch>
                  </pic:blipFill>
                  <pic:spPr>
                    <a:xfrm>
                      <a:off x="0" y="0"/>
                      <a:ext cx="2971039" cy="2825762"/>
                    </a:xfrm>
                    <a:prstGeom prst="rect">
                      <a:avLst/>
                    </a:prstGeom>
                    <a:ln>
                      <a:noFill/>
                    </a:ln>
                  </pic:spPr>
                </pic:pic>
              </a:graphicData>
            </a:graphic>
          </wp:inline>
        </w:drawing>
      </w:r>
    </w:p>
    <w:p>
      <w:pPr>
        <w:spacing w:after="120"/>
        <w:jc w:val="center"/>
        <w:rPr>
          <w:rFonts w:eastAsia="宋体" w:cs="Times New Roman"/>
          <w:sz w:val="21"/>
          <w:szCs w:val="21"/>
        </w:rPr>
      </w:pPr>
      <w:r>
        <w:rPr>
          <w:rFonts w:eastAsia="宋体" w:cs="Times New Roman"/>
          <w:sz w:val="21"/>
          <w:szCs w:val="21"/>
        </w:rPr>
        <w:t xml:space="preserve">图7.2-1 </w:t>
      </w:r>
      <w:r>
        <w:rPr>
          <w:rFonts w:hint="eastAsia" w:eastAsia="宋体" w:cs="Times New Roman"/>
          <w:sz w:val="21"/>
          <w:szCs w:val="21"/>
        </w:rPr>
        <w:t>人的不安全行为辨识</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2.对危险性大的作业实行许可制、工作票制。</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bookmarkStart w:id="32" w:name="_Hlk93613828"/>
      <w:r>
        <w:rPr>
          <w:rFonts w:hint="eastAsia" w:cs="楷体" w:asciiTheme="minorEastAsia" w:hAnsiTheme="minorEastAsia" w:eastAsiaTheme="minorEastAsia"/>
          <w:sz w:val="24"/>
        </w:rPr>
        <w:t>见图7</w:t>
      </w:r>
      <w:r>
        <w:rPr>
          <w:rFonts w:cs="楷体" w:asciiTheme="minorEastAsia" w:hAnsiTheme="minorEastAsia" w:eastAsiaTheme="minorEastAsia"/>
          <w:sz w:val="24"/>
        </w:rPr>
        <w:t>.1</w:t>
      </w:r>
      <w:r>
        <w:rPr>
          <w:rFonts w:hint="eastAsia" w:cs="楷体" w:asciiTheme="minorEastAsia" w:hAnsiTheme="minorEastAsia" w:eastAsiaTheme="minorEastAsia"/>
          <w:sz w:val="24"/>
        </w:rPr>
        <w:t>-</w:t>
      </w:r>
      <w:r>
        <w:rPr>
          <w:rFonts w:cs="楷体" w:asciiTheme="minorEastAsia" w:hAnsiTheme="minorEastAsia" w:eastAsiaTheme="minorEastAsia"/>
          <w:sz w:val="24"/>
        </w:rPr>
        <w:t>4</w:t>
      </w:r>
      <w:bookmarkEnd w:id="32"/>
      <w:r>
        <w:rPr>
          <w:rFonts w:hint="eastAsia" w:cs="楷体" w:asciiTheme="minorEastAsia" w:hAnsiTheme="minorEastAsia" w:eastAsiaTheme="minorEastAsia"/>
          <w:sz w:val="24"/>
        </w:rPr>
        <w:t>，7.1-5</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3.要害岗位及电气、机械等设备，应实行操作牌制度。</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p>
      <w:pPr>
        <w:pStyle w:val="2"/>
      </w:pPr>
    </w:p>
    <w:p>
      <w:pPr>
        <w:pStyle w:val="2"/>
      </w:pPr>
    </w:p>
    <w:p>
      <w:pPr>
        <w:pStyle w:val="2"/>
      </w:pPr>
    </w:p>
    <w:p>
      <w:pPr>
        <w:pStyle w:val="2"/>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6"/>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113" w:type="dxa"/>
            <w:gridSpan w:val="2"/>
          </w:tcPr>
          <w:p>
            <w:pPr>
              <w:jc w:val="center"/>
              <w:rPr>
                <w:sz w:val="21"/>
                <w:szCs w:val="21"/>
              </w:rPr>
            </w:pPr>
            <w:r>
              <w:rPr>
                <w:rFonts w:hint="eastAsia"/>
                <w:sz w:val="21"/>
                <w:szCs w:val="21"/>
              </w:rPr>
              <w:t>操作牌管理制度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rPr>
                <w:sz w:val="21"/>
                <w:szCs w:val="21"/>
              </w:rPr>
            </w:pPr>
            <w:r>
              <w:rPr>
                <w:rFonts w:hint="eastAsia"/>
                <w:sz w:val="21"/>
                <w:szCs w:val="21"/>
              </w:rPr>
              <w:t>1目的和适用范围</w:t>
            </w:r>
          </w:p>
          <w:p>
            <w:pPr>
              <w:rPr>
                <w:sz w:val="21"/>
                <w:szCs w:val="21"/>
              </w:rPr>
            </w:pPr>
            <w:r>
              <w:rPr>
                <w:rFonts w:hint="eastAsia"/>
                <w:sz w:val="21"/>
                <w:szCs w:val="21"/>
              </w:rPr>
              <w:t>1.1</w:t>
            </w:r>
            <w:r>
              <w:rPr>
                <w:rFonts w:hint="eastAsia"/>
                <w:sz w:val="21"/>
                <w:szCs w:val="21"/>
              </w:rPr>
              <w:tab/>
            </w:r>
            <w:r>
              <w:rPr>
                <w:rFonts w:hint="eastAsia"/>
                <w:sz w:val="21"/>
                <w:szCs w:val="21"/>
              </w:rPr>
              <w:t>目的</w:t>
            </w:r>
          </w:p>
          <w:p>
            <w:pPr>
              <w:rPr>
                <w:sz w:val="21"/>
                <w:szCs w:val="21"/>
              </w:rPr>
            </w:pPr>
            <w:r>
              <w:rPr>
                <w:rFonts w:hint="eastAsia"/>
                <w:sz w:val="21"/>
                <w:szCs w:val="21"/>
              </w:rPr>
              <w:t>1.2</w:t>
            </w:r>
            <w:r>
              <w:rPr>
                <w:rFonts w:hint="eastAsia"/>
                <w:sz w:val="21"/>
                <w:szCs w:val="21"/>
              </w:rPr>
              <w:tab/>
            </w:r>
            <w:r>
              <w:rPr>
                <w:rFonts w:hint="eastAsia"/>
                <w:sz w:val="21"/>
                <w:szCs w:val="21"/>
              </w:rPr>
              <w:t>适用范围</w:t>
            </w:r>
          </w:p>
          <w:p>
            <w:pPr>
              <w:rPr>
                <w:sz w:val="21"/>
                <w:szCs w:val="21"/>
              </w:rPr>
            </w:pPr>
            <w:r>
              <w:rPr>
                <w:rFonts w:hint="eastAsia"/>
                <w:sz w:val="21"/>
                <w:szCs w:val="21"/>
              </w:rPr>
              <w:t>2职责</w:t>
            </w:r>
          </w:p>
          <w:p>
            <w:pPr>
              <w:rPr>
                <w:sz w:val="21"/>
                <w:szCs w:val="21"/>
              </w:rPr>
            </w:pPr>
            <w:r>
              <w:rPr>
                <w:rFonts w:hint="eastAsia"/>
                <w:sz w:val="21"/>
                <w:szCs w:val="21"/>
              </w:rPr>
              <w:t>3活动描述</w:t>
            </w:r>
          </w:p>
          <w:p>
            <w:pPr>
              <w:rPr>
                <w:sz w:val="21"/>
                <w:szCs w:val="21"/>
              </w:rPr>
            </w:pPr>
            <w:r>
              <w:rPr>
                <w:rFonts w:hint="eastAsia"/>
                <w:sz w:val="21"/>
                <w:szCs w:val="21"/>
              </w:rPr>
              <w:t>3.2</w:t>
            </w:r>
            <w:r>
              <w:rPr>
                <w:rFonts w:hint="eastAsia"/>
                <w:sz w:val="21"/>
                <w:szCs w:val="21"/>
              </w:rPr>
              <w:tab/>
            </w:r>
            <w:r>
              <w:rPr>
                <w:rFonts w:hint="eastAsia"/>
                <w:sz w:val="21"/>
                <w:szCs w:val="21"/>
              </w:rPr>
              <w:t>设备操作牌的制作</w:t>
            </w:r>
          </w:p>
          <w:p>
            <w:pPr>
              <w:rPr>
                <w:sz w:val="21"/>
                <w:szCs w:val="21"/>
              </w:rPr>
            </w:pPr>
            <w:r>
              <w:rPr>
                <w:rFonts w:hint="eastAsia"/>
                <w:sz w:val="21"/>
                <w:szCs w:val="21"/>
              </w:rPr>
              <w:t>3.3</w:t>
            </w:r>
            <w:r>
              <w:rPr>
                <w:rFonts w:hint="eastAsia"/>
                <w:sz w:val="21"/>
                <w:szCs w:val="21"/>
              </w:rPr>
              <w:tab/>
            </w:r>
            <w:r>
              <w:rPr>
                <w:rFonts w:hint="eastAsia"/>
                <w:sz w:val="21"/>
                <w:szCs w:val="21"/>
              </w:rPr>
              <w:t>设备操作牌的使用</w:t>
            </w:r>
          </w:p>
          <w:p>
            <w:pPr>
              <w:rPr>
                <w:sz w:val="21"/>
                <w:szCs w:val="21"/>
              </w:rPr>
            </w:pPr>
          </w:p>
        </w:tc>
        <w:tc>
          <w:tcPr>
            <w:tcW w:w="3057" w:type="dxa"/>
          </w:tcPr>
          <w:p>
            <w:pPr>
              <w:rPr>
                <w:sz w:val="21"/>
                <w:szCs w:val="21"/>
              </w:rPr>
            </w:pPr>
            <w:r>
              <w:rPr>
                <w:rFonts w:hint="eastAsia"/>
                <w:sz w:val="21"/>
                <w:szCs w:val="21"/>
              </w:rPr>
              <w:t>3.4动力变压器停、送电</w:t>
            </w:r>
          </w:p>
          <w:p>
            <w:pPr>
              <w:rPr>
                <w:sz w:val="21"/>
                <w:szCs w:val="21"/>
              </w:rPr>
            </w:pPr>
            <w:r>
              <w:rPr>
                <w:rFonts w:hint="eastAsia"/>
                <w:sz w:val="21"/>
                <w:szCs w:val="21"/>
              </w:rPr>
              <w:t>3.5</w:t>
            </w:r>
            <w:r>
              <w:rPr>
                <w:rFonts w:hint="eastAsia"/>
                <w:sz w:val="21"/>
                <w:szCs w:val="21"/>
              </w:rPr>
              <w:tab/>
            </w:r>
            <w:r>
              <w:rPr>
                <w:rFonts w:hint="eastAsia"/>
                <w:sz w:val="21"/>
                <w:szCs w:val="21"/>
              </w:rPr>
              <w:t>检查与考核</w:t>
            </w:r>
          </w:p>
          <w:p>
            <w:pPr>
              <w:rPr>
                <w:sz w:val="21"/>
                <w:szCs w:val="21"/>
              </w:rPr>
            </w:pPr>
            <w:r>
              <w:rPr>
                <w:rFonts w:hint="eastAsia"/>
                <w:sz w:val="21"/>
                <w:szCs w:val="21"/>
              </w:rPr>
              <w:t>4</w:t>
            </w:r>
            <w:r>
              <w:rPr>
                <w:rFonts w:hint="eastAsia"/>
                <w:sz w:val="21"/>
                <w:szCs w:val="21"/>
              </w:rPr>
              <w:tab/>
            </w:r>
            <w:r>
              <w:rPr>
                <w:rFonts w:hint="eastAsia"/>
                <w:sz w:val="21"/>
                <w:szCs w:val="21"/>
              </w:rPr>
              <w:t>记录</w:t>
            </w:r>
          </w:p>
          <w:p>
            <w:pPr>
              <w:rPr>
                <w:sz w:val="21"/>
                <w:szCs w:val="21"/>
              </w:rPr>
            </w:pPr>
            <w:r>
              <w:rPr>
                <w:rFonts w:hint="eastAsia"/>
                <w:sz w:val="21"/>
                <w:szCs w:val="21"/>
              </w:rPr>
              <w:t>4.1</w:t>
            </w:r>
            <w:r>
              <w:rPr>
                <w:rFonts w:hint="eastAsia"/>
                <w:sz w:val="21"/>
                <w:szCs w:val="21"/>
              </w:rPr>
              <w:tab/>
            </w:r>
            <w:r>
              <w:rPr>
                <w:rFonts w:hint="eastAsia"/>
                <w:sz w:val="21"/>
                <w:szCs w:val="21"/>
              </w:rPr>
              <w:t>操作牌申报表</w:t>
            </w:r>
          </w:p>
          <w:p>
            <w:pPr>
              <w:rPr>
                <w:sz w:val="21"/>
                <w:szCs w:val="21"/>
              </w:rPr>
            </w:pPr>
            <w:r>
              <w:rPr>
                <w:rFonts w:hint="eastAsia"/>
                <w:sz w:val="21"/>
                <w:szCs w:val="21"/>
              </w:rPr>
              <w:t>4.2</w:t>
            </w:r>
            <w:r>
              <w:rPr>
                <w:rFonts w:hint="eastAsia"/>
                <w:sz w:val="21"/>
                <w:szCs w:val="21"/>
              </w:rPr>
              <w:tab/>
            </w:r>
            <w:r>
              <w:rPr>
                <w:rFonts w:hint="eastAsia"/>
                <w:sz w:val="21"/>
                <w:szCs w:val="21"/>
              </w:rPr>
              <w:t>操作牌、停电牌、警示牌发放记录</w:t>
            </w:r>
          </w:p>
          <w:p>
            <w:pPr>
              <w:rPr>
                <w:sz w:val="21"/>
                <w:szCs w:val="21"/>
              </w:rPr>
            </w:pPr>
            <w:r>
              <w:rPr>
                <w:rFonts w:hint="eastAsia"/>
                <w:sz w:val="21"/>
                <w:szCs w:val="21"/>
              </w:rPr>
              <w:t>4.3</w:t>
            </w:r>
            <w:r>
              <w:rPr>
                <w:rFonts w:hint="eastAsia"/>
                <w:sz w:val="21"/>
                <w:szCs w:val="21"/>
              </w:rPr>
              <w:tab/>
            </w:r>
            <w:r>
              <w:rPr>
                <w:rFonts w:hint="eastAsia"/>
                <w:sz w:val="21"/>
                <w:szCs w:val="21"/>
              </w:rPr>
              <w:t>停、送电（开、关阀）登记表</w:t>
            </w:r>
          </w:p>
        </w:tc>
      </w:tr>
    </w:tbl>
    <w:p>
      <w:pPr>
        <w:spacing w:after="120"/>
        <w:jc w:val="center"/>
        <w:rPr>
          <w:rFonts w:eastAsia="宋体" w:cs="Times New Roman"/>
          <w:sz w:val="21"/>
          <w:szCs w:val="21"/>
        </w:rPr>
      </w:pPr>
      <w:r>
        <w:rPr>
          <w:rFonts w:eastAsia="宋体" w:cs="Times New Roman"/>
          <w:sz w:val="21"/>
          <w:szCs w:val="21"/>
        </w:rPr>
        <w:t xml:space="preserve">图7.2-2 </w:t>
      </w:r>
      <w:r>
        <w:rPr>
          <w:rFonts w:hint="eastAsia" w:eastAsia="宋体" w:cs="Times New Roman"/>
          <w:sz w:val="21"/>
          <w:szCs w:val="21"/>
        </w:rPr>
        <w:t>操作牌管理制度要求</w:t>
      </w:r>
    </w:p>
    <w:p>
      <w:pPr>
        <w:pStyle w:val="2"/>
      </w:pPr>
      <w:r>
        <w:rPr>
          <w:rFonts w:hint="eastAsia" w:ascii="仿宋" w:hAnsi="仿宋"/>
          <w:szCs w:val="32"/>
        </w:rPr>
        <mc:AlternateContent>
          <mc:Choice Requires="wps">
            <w:drawing>
              <wp:anchor distT="0" distB="0" distL="114300" distR="114300" simplePos="0" relativeHeight="251686912" behindDoc="0" locked="0" layoutInCell="1" allowOverlap="1">
                <wp:simplePos x="0" y="0"/>
                <wp:positionH relativeFrom="margin">
                  <wp:posOffset>618490</wp:posOffset>
                </wp:positionH>
                <wp:positionV relativeFrom="paragraph">
                  <wp:posOffset>5080</wp:posOffset>
                </wp:positionV>
                <wp:extent cx="2683510" cy="1605915"/>
                <wp:effectExtent l="0" t="0" r="21590" b="13335"/>
                <wp:wrapNone/>
                <wp:docPr id="31027" name="文本框 31027"/>
                <wp:cNvGraphicFramePr/>
                <a:graphic xmlns:a="http://schemas.openxmlformats.org/drawingml/2006/main">
                  <a:graphicData uri="http://schemas.microsoft.com/office/word/2010/wordprocessingShape">
                    <wps:wsp>
                      <wps:cNvSpPr txBox="1">
                        <a:spLocks noChangeArrowheads="1"/>
                      </wps:cNvSpPr>
                      <wps:spPr bwMode="auto">
                        <a:xfrm>
                          <a:off x="0" y="0"/>
                          <a:ext cx="2683510" cy="1605915"/>
                        </a:xfrm>
                        <a:prstGeom prst="rect">
                          <a:avLst/>
                        </a:prstGeom>
                        <a:solidFill>
                          <a:srgbClr val="CCFFCC"/>
                        </a:solidFill>
                        <a:ln w="9525">
                          <a:solidFill>
                            <a:srgbClr val="000000"/>
                          </a:solidFill>
                          <a:miter lim="800000"/>
                        </a:ln>
                      </wps:spPr>
                      <wps:txbx>
                        <w:txbxContent>
                          <w:p>
                            <w:pPr>
                              <w:jc w:val="center"/>
                              <w:rPr>
                                <w:b/>
                                <w:color w:val="0000FF"/>
                                <w:sz w:val="2"/>
                                <w:szCs w:val="2"/>
                              </w:rPr>
                            </w:pPr>
                          </w:p>
                          <w:p>
                            <w:pPr>
                              <w:jc w:val="center"/>
                              <w:rPr>
                                <w:b/>
                                <w:color w:val="0000FF"/>
                                <w:sz w:val="40"/>
                                <w:szCs w:val="40"/>
                              </w:rPr>
                            </w:pPr>
                            <w:r>
                              <w:rPr>
                                <w:rFonts w:hint="eastAsia"/>
                                <w:b/>
                                <w:color w:val="0000FF"/>
                                <w:sz w:val="40"/>
                                <w:szCs w:val="40"/>
                              </w:rPr>
                              <w:t>完好设备</w:t>
                            </w:r>
                          </w:p>
                          <w:p>
                            <w:pPr>
                              <w:rPr>
                                <w:color w:val="0000FF"/>
                                <w:sz w:val="22"/>
                                <w:szCs w:val="22"/>
                              </w:rPr>
                            </w:pPr>
                          </w:p>
                          <w:p>
                            <w:pPr>
                              <w:ind w:firstLine="268" w:firstLineChars="122"/>
                              <w:rPr>
                                <w:color w:val="0000FF"/>
                                <w:sz w:val="22"/>
                                <w:szCs w:val="22"/>
                                <w:u w:val="single"/>
                              </w:rPr>
                            </w:pPr>
                            <w:r>
                              <w:rPr>
                                <w:rFonts w:hint="eastAsia"/>
                                <w:color w:val="0000FF"/>
                                <w:sz w:val="22"/>
                                <w:szCs w:val="22"/>
                              </w:rPr>
                              <w:t>设备名称：</w:t>
                            </w:r>
                            <w:r>
                              <w:rPr>
                                <w:rFonts w:hint="eastAsia"/>
                                <w:color w:val="0000FF"/>
                                <w:sz w:val="22"/>
                                <w:szCs w:val="22"/>
                                <w:u w:val="single"/>
                              </w:rPr>
                              <w:t xml:space="preserve">                 </w:t>
                            </w:r>
                          </w:p>
                          <w:p>
                            <w:pPr>
                              <w:ind w:firstLine="268" w:firstLineChars="122"/>
                              <w:rPr>
                                <w:color w:val="0000FF"/>
                                <w:sz w:val="22"/>
                                <w:szCs w:val="22"/>
                                <w:u w:val="single"/>
                              </w:rPr>
                            </w:pPr>
                            <w:r>
                              <w:rPr>
                                <w:rFonts w:hint="eastAsia"/>
                                <w:color w:val="0000FF"/>
                                <w:sz w:val="22"/>
                                <w:szCs w:val="22"/>
                              </w:rPr>
                              <w:t>设备型号：</w:t>
                            </w:r>
                            <w:r>
                              <w:rPr>
                                <w:rFonts w:hint="eastAsia"/>
                                <w:color w:val="0000FF"/>
                                <w:sz w:val="22"/>
                                <w:szCs w:val="22"/>
                                <w:u w:val="single"/>
                              </w:rPr>
                              <w:t xml:space="preserve">                 </w:t>
                            </w:r>
                          </w:p>
                          <w:p>
                            <w:pPr>
                              <w:ind w:firstLine="268" w:firstLineChars="122"/>
                              <w:rPr>
                                <w:color w:val="0000FF"/>
                                <w:sz w:val="22"/>
                                <w:szCs w:val="22"/>
                                <w:u w:val="single"/>
                              </w:rPr>
                            </w:pPr>
                            <w:r>
                              <w:rPr>
                                <w:rFonts w:hint="eastAsia"/>
                                <w:color w:val="0000FF"/>
                                <w:sz w:val="22"/>
                                <w:szCs w:val="22"/>
                              </w:rPr>
                              <w:t>设备编号：</w:t>
                            </w:r>
                            <w:r>
                              <w:rPr>
                                <w:rFonts w:hint="eastAsia"/>
                                <w:color w:val="0000FF"/>
                                <w:sz w:val="22"/>
                                <w:szCs w:val="22"/>
                                <w:u w:val="single"/>
                              </w:rPr>
                              <w:t xml:space="preserve">                 </w:t>
                            </w:r>
                          </w:p>
                          <w:p>
                            <w:pPr>
                              <w:ind w:firstLine="268" w:firstLineChars="122"/>
                              <w:rPr>
                                <w:color w:val="0000FF"/>
                                <w:sz w:val="22"/>
                                <w:szCs w:val="22"/>
                                <w:u w:val="single"/>
                              </w:rPr>
                            </w:pPr>
                            <w:r>
                              <w:rPr>
                                <w:rFonts w:hint="eastAsia"/>
                                <w:color w:val="0000FF"/>
                                <w:sz w:val="22"/>
                                <w:szCs w:val="22"/>
                              </w:rPr>
                              <w:t>所属单位：</w:t>
                            </w:r>
                            <w:r>
                              <w:rPr>
                                <w:rFonts w:hint="eastAsia"/>
                                <w:color w:val="0000FF"/>
                                <w:sz w:val="22"/>
                                <w:szCs w:val="22"/>
                                <w:u w:val="single"/>
                              </w:rPr>
                              <w:t xml:space="preserve">                 </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8.7pt;margin-top:0.4pt;height:126.45pt;width:211.3pt;mso-position-horizontal-relative:margin;z-index:251686912;mso-width-relative:page;mso-height-relative:page;" fillcolor="#CCFFCC" filled="t" stroked="t" coordsize="21600,21600" o:gfxdata="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O8JrtgAAAAHAQAADwAAAAAAAAAB&#10;ACAAAAAiAAAAZHJzL2Rvd25yZXYueG1sUEsBAhQAFAAAAAgAh07iQIAKLA1JAgAAkAQAAA4AAAAA&#10;AAAAAQAgAAAAJwEAAGRycy9lMm9Eb2MueG1sUEsFBgAAAAAGAAYAWQEAAOIFAAAAAA==&#10;">
                <v:fill on="t" focussize="0,0"/>
                <v:stroke color="#000000" miterlimit="8" joinstyle="miter"/>
                <v:imagedata o:title=""/>
                <o:lock v:ext="edit" aspectratio="f"/>
                <v:textbox>
                  <w:txbxContent>
                    <w:p>
                      <w:pPr>
                        <w:jc w:val="center"/>
                        <w:rPr>
                          <w:b/>
                          <w:color w:val="0000FF"/>
                          <w:sz w:val="2"/>
                          <w:szCs w:val="2"/>
                        </w:rPr>
                      </w:pPr>
                    </w:p>
                    <w:p>
                      <w:pPr>
                        <w:jc w:val="center"/>
                        <w:rPr>
                          <w:b/>
                          <w:color w:val="0000FF"/>
                          <w:sz w:val="40"/>
                          <w:szCs w:val="40"/>
                        </w:rPr>
                      </w:pPr>
                      <w:r>
                        <w:rPr>
                          <w:rFonts w:hint="eastAsia"/>
                          <w:b/>
                          <w:color w:val="0000FF"/>
                          <w:sz w:val="40"/>
                          <w:szCs w:val="40"/>
                        </w:rPr>
                        <w:t>完好设备</w:t>
                      </w:r>
                    </w:p>
                    <w:p>
                      <w:pPr>
                        <w:rPr>
                          <w:color w:val="0000FF"/>
                          <w:sz w:val="22"/>
                          <w:szCs w:val="22"/>
                        </w:rPr>
                      </w:pPr>
                    </w:p>
                    <w:p>
                      <w:pPr>
                        <w:ind w:firstLine="268" w:firstLineChars="122"/>
                        <w:rPr>
                          <w:color w:val="0000FF"/>
                          <w:sz w:val="22"/>
                          <w:szCs w:val="22"/>
                          <w:u w:val="single"/>
                        </w:rPr>
                      </w:pPr>
                      <w:r>
                        <w:rPr>
                          <w:rFonts w:hint="eastAsia"/>
                          <w:color w:val="0000FF"/>
                          <w:sz w:val="22"/>
                          <w:szCs w:val="22"/>
                        </w:rPr>
                        <w:t>设备名称：</w:t>
                      </w:r>
                      <w:r>
                        <w:rPr>
                          <w:rFonts w:hint="eastAsia"/>
                          <w:color w:val="0000FF"/>
                          <w:sz w:val="22"/>
                          <w:szCs w:val="22"/>
                          <w:u w:val="single"/>
                        </w:rPr>
                        <w:t xml:space="preserve">                 </w:t>
                      </w:r>
                    </w:p>
                    <w:p>
                      <w:pPr>
                        <w:ind w:firstLine="268" w:firstLineChars="122"/>
                        <w:rPr>
                          <w:color w:val="0000FF"/>
                          <w:sz w:val="22"/>
                          <w:szCs w:val="22"/>
                          <w:u w:val="single"/>
                        </w:rPr>
                      </w:pPr>
                      <w:r>
                        <w:rPr>
                          <w:rFonts w:hint="eastAsia"/>
                          <w:color w:val="0000FF"/>
                          <w:sz w:val="22"/>
                          <w:szCs w:val="22"/>
                        </w:rPr>
                        <w:t>设备型号：</w:t>
                      </w:r>
                      <w:r>
                        <w:rPr>
                          <w:rFonts w:hint="eastAsia"/>
                          <w:color w:val="0000FF"/>
                          <w:sz w:val="22"/>
                          <w:szCs w:val="22"/>
                          <w:u w:val="single"/>
                        </w:rPr>
                        <w:t xml:space="preserve">                 </w:t>
                      </w:r>
                    </w:p>
                    <w:p>
                      <w:pPr>
                        <w:ind w:firstLine="268" w:firstLineChars="122"/>
                        <w:rPr>
                          <w:color w:val="0000FF"/>
                          <w:sz w:val="22"/>
                          <w:szCs w:val="22"/>
                          <w:u w:val="single"/>
                        </w:rPr>
                      </w:pPr>
                      <w:r>
                        <w:rPr>
                          <w:rFonts w:hint="eastAsia"/>
                          <w:color w:val="0000FF"/>
                          <w:sz w:val="22"/>
                          <w:szCs w:val="22"/>
                        </w:rPr>
                        <w:t>设备编号：</w:t>
                      </w:r>
                      <w:r>
                        <w:rPr>
                          <w:rFonts w:hint="eastAsia"/>
                          <w:color w:val="0000FF"/>
                          <w:sz w:val="22"/>
                          <w:szCs w:val="22"/>
                          <w:u w:val="single"/>
                        </w:rPr>
                        <w:t xml:space="preserve">                 </w:t>
                      </w:r>
                    </w:p>
                    <w:p>
                      <w:pPr>
                        <w:ind w:firstLine="268" w:firstLineChars="122"/>
                        <w:rPr>
                          <w:color w:val="0000FF"/>
                          <w:sz w:val="22"/>
                          <w:szCs w:val="22"/>
                          <w:u w:val="single"/>
                        </w:rPr>
                      </w:pPr>
                      <w:r>
                        <w:rPr>
                          <w:rFonts w:hint="eastAsia"/>
                          <w:color w:val="0000FF"/>
                          <w:sz w:val="22"/>
                          <w:szCs w:val="22"/>
                        </w:rPr>
                        <w:t>所属单位：</w:t>
                      </w:r>
                      <w:r>
                        <w:rPr>
                          <w:rFonts w:hint="eastAsia"/>
                          <w:color w:val="0000FF"/>
                          <w:sz w:val="22"/>
                          <w:szCs w:val="22"/>
                          <w:u w:val="single"/>
                        </w:rPr>
                        <w:t xml:space="preserve">                 </w:t>
                      </w:r>
                    </w:p>
                  </w:txbxContent>
                </v:textbox>
              </v:shape>
            </w:pict>
          </mc:Fallback>
        </mc:AlternateContent>
      </w:r>
    </w:p>
    <w:p>
      <w:pPr>
        <w:pStyle w:val="2"/>
      </w:pPr>
    </w:p>
    <w:p>
      <w:pPr>
        <w:pStyle w:val="2"/>
      </w:pPr>
    </w:p>
    <w:p>
      <w:pPr>
        <w:pStyle w:val="2"/>
      </w:pPr>
    </w:p>
    <w:p>
      <w:pPr>
        <w:pStyle w:val="2"/>
      </w:pPr>
    </w:p>
    <w:p>
      <w:pPr>
        <w:pStyle w:val="2"/>
      </w:pPr>
    </w:p>
    <w:p>
      <w:pPr>
        <w:spacing w:after="120"/>
        <w:jc w:val="center"/>
        <w:rPr>
          <w:rFonts w:eastAsia="宋体" w:cs="Times New Roman"/>
          <w:sz w:val="21"/>
          <w:szCs w:val="21"/>
        </w:rPr>
      </w:pPr>
      <w:r>
        <w:rPr>
          <w:rFonts w:eastAsia="宋体" w:cs="Times New Roman"/>
          <w:sz w:val="21"/>
          <w:szCs w:val="21"/>
        </w:rPr>
        <w:t xml:space="preserve">图7.2-3 </w:t>
      </w:r>
      <w:r>
        <w:rPr>
          <w:rFonts w:hint="eastAsia" w:eastAsia="宋体" w:cs="Times New Roman"/>
          <w:sz w:val="21"/>
          <w:szCs w:val="21"/>
        </w:rPr>
        <w:t>操作牌样式</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4.建立危险作业的专项安全管理制度，加强危险作业安全管理。</w:t>
      </w:r>
    </w:p>
    <w:p>
      <w:pPr>
        <w:adjustRightInd w:val="0"/>
        <w:snapToGrid w:val="0"/>
        <w:spacing w:line="360" w:lineRule="auto"/>
        <w:ind w:firstLine="480" w:firstLineChars="200"/>
        <w:contextualSpacing/>
        <w:jc w:val="left"/>
        <w:rPr>
          <w:rFonts w:cs="Times New Roman" w:eastAsiaTheme="minorEastAsia"/>
          <w:b/>
          <w:bCs/>
          <w:sz w:val="24"/>
        </w:rPr>
      </w:pPr>
      <w:r>
        <w:rPr>
          <w:rFonts w:cs="Times New Roman" w:eastAsiaTheme="minorEastAsia"/>
          <w:sz w:val="24"/>
        </w:rPr>
        <w:t>见图7.1-4</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5.应当为从业人员配备与工作岗位相适应的符合国家标准或者行业标准的劳动防护用品，如实记录购买和发放劳动防护用品情况，劳动防护用品不得以货币或者其他物品替代。并监督、教育从业人员按照使用规则佩戴、使用。（已纳入企业落实安全生产主体责任检查要点20条第14条）</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p>
      <w:pPr>
        <w:adjustRightInd w:val="0"/>
        <w:snapToGrid w:val="0"/>
        <w:spacing w:line="360" w:lineRule="auto"/>
        <w:ind w:firstLine="480" w:firstLineChars="200"/>
        <w:contextualSpacing/>
        <w:jc w:val="left"/>
        <w:rPr>
          <w:rFonts w:cs="Times New Roman" w:eastAsiaTheme="minorEastAsia"/>
          <w:sz w:val="24"/>
        </w:rPr>
      </w:pPr>
      <w:r>
        <w:rPr>
          <w:rFonts w:hint="eastAsia" w:cs="Times New Roman" w:eastAsiaTheme="minorEastAsia"/>
          <w:sz w:val="24"/>
        </w:rPr>
        <w:t>企业应根据《江苏省劳动防护用品配备标准（2007版）》（苏安监〔2007〕196号）要求制定劳保用品发放标准（见图7</w:t>
      </w:r>
      <w:r>
        <w:rPr>
          <w:rFonts w:cs="Times New Roman" w:eastAsiaTheme="minorEastAsia"/>
          <w:sz w:val="24"/>
        </w:rPr>
        <w:t>.2</w:t>
      </w:r>
      <w:r>
        <w:rPr>
          <w:rFonts w:hint="eastAsia" w:cs="Times New Roman" w:eastAsiaTheme="minorEastAsia"/>
          <w:sz w:val="24"/>
        </w:rPr>
        <w:t>-</w:t>
      </w:r>
      <w:r>
        <w:rPr>
          <w:rFonts w:cs="Times New Roman" w:eastAsiaTheme="minorEastAsia"/>
          <w:sz w:val="24"/>
        </w:rPr>
        <w:t>4</w:t>
      </w:r>
      <w:r>
        <w:rPr>
          <w:rFonts w:hint="eastAsia" w:cs="Times New Roman" w:eastAsiaTheme="minorEastAsia"/>
          <w:sz w:val="24"/>
        </w:rPr>
        <w:t>），为从业人员配备与工作岗位相适应的符合要求的劳动防护用品，如实记录发放劳动防护用品情况（见图7</w:t>
      </w:r>
      <w:r>
        <w:rPr>
          <w:rFonts w:cs="Times New Roman" w:eastAsiaTheme="minorEastAsia"/>
          <w:sz w:val="24"/>
        </w:rPr>
        <w:t>.2</w:t>
      </w:r>
      <w:r>
        <w:rPr>
          <w:rFonts w:hint="eastAsia" w:cs="Times New Roman" w:eastAsiaTheme="minorEastAsia"/>
          <w:sz w:val="24"/>
        </w:rPr>
        <w:t>-</w:t>
      </w:r>
      <w:r>
        <w:rPr>
          <w:rFonts w:cs="Times New Roman" w:eastAsiaTheme="minorEastAsia"/>
          <w:sz w:val="24"/>
        </w:rPr>
        <w:t>5</w:t>
      </w:r>
      <w:r>
        <w:rPr>
          <w:rFonts w:hint="eastAsia" w:cs="Times New Roman" w:eastAsiaTheme="minorEastAsia"/>
          <w:sz w:val="24"/>
        </w:rPr>
        <w:t>）。</w:t>
      </w:r>
    </w:p>
    <w:p>
      <w:pPr>
        <w:adjustRightInd w:val="0"/>
        <w:snapToGrid w:val="0"/>
        <w:spacing w:line="360" w:lineRule="auto"/>
        <w:contextualSpacing/>
        <w:jc w:val="center"/>
        <w:rPr>
          <w:rFonts w:asciiTheme="minorEastAsia" w:hAnsiTheme="minorEastAsia" w:eastAsiaTheme="minorEastAsia"/>
          <w:sz w:val="24"/>
        </w:rPr>
      </w:pPr>
      <w:r>
        <w:drawing>
          <wp:inline distT="0" distB="0" distL="0" distR="0">
            <wp:extent cx="3533775" cy="1280160"/>
            <wp:effectExtent l="0" t="0" r="9525" b="0"/>
            <wp:docPr id="31028" name="图片 3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8" name="图片 31028"/>
                    <pic:cNvPicPr>
                      <a:picLocks noChangeAspect="1"/>
                    </pic:cNvPicPr>
                  </pic:nvPicPr>
                  <pic:blipFill>
                    <a:blip r:embed="rId102"/>
                    <a:stretch>
                      <a:fillRect/>
                    </a:stretch>
                  </pic:blipFill>
                  <pic:spPr>
                    <a:xfrm>
                      <a:off x="0" y="0"/>
                      <a:ext cx="3553842" cy="1287347"/>
                    </a:xfrm>
                    <a:prstGeom prst="rect">
                      <a:avLst/>
                    </a:prstGeom>
                  </pic:spPr>
                </pic:pic>
              </a:graphicData>
            </a:graphic>
          </wp:inline>
        </w:drawing>
      </w:r>
    </w:p>
    <w:p>
      <w:pPr>
        <w:spacing w:after="120"/>
        <w:jc w:val="center"/>
        <w:rPr>
          <w:rFonts w:eastAsia="宋体" w:cs="Times New Roman"/>
          <w:sz w:val="21"/>
          <w:szCs w:val="21"/>
        </w:rPr>
      </w:pPr>
      <w:r>
        <w:rPr>
          <w:rFonts w:eastAsia="宋体" w:cs="Times New Roman"/>
          <w:sz w:val="21"/>
          <w:szCs w:val="21"/>
        </w:rPr>
        <w:t xml:space="preserve">图7.2-4 </w:t>
      </w:r>
      <w:r>
        <w:rPr>
          <w:rFonts w:hint="eastAsia" w:eastAsia="宋体" w:cs="Times New Roman"/>
          <w:sz w:val="21"/>
          <w:szCs w:val="21"/>
        </w:rPr>
        <w:t>劳动用品发放标准</w:t>
      </w:r>
    </w:p>
    <w:p>
      <w:pPr>
        <w:spacing w:after="120"/>
        <w:jc w:val="center"/>
      </w:pPr>
      <w:r>
        <w:drawing>
          <wp:inline distT="0" distB="0" distL="0" distR="0">
            <wp:extent cx="3499485" cy="1764665"/>
            <wp:effectExtent l="0" t="0" r="5715" b="6985"/>
            <wp:docPr id="7224" name="图片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 name="图片 7224"/>
                    <pic:cNvPicPr>
                      <a:picLocks noChangeAspect="1"/>
                    </pic:cNvPicPr>
                  </pic:nvPicPr>
                  <pic:blipFill>
                    <a:blip r:embed="rId103"/>
                    <a:srcRect b="35860"/>
                    <a:stretch>
                      <a:fillRect/>
                    </a:stretch>
                  </pic:blipFill>
                  <pic:spPr>
                    <a:xfrm>
                      <a:off x="0" y="0"/>
                      <a:ext cx="3510863" cy="1770821"/>
                    </a:xfrm>
                    <a:prstGeom prst="rect">
                      <a:avLst/>
                    </a:prstGeom>
                    <a:ln>
                      <a:noFill/>
                    </a:ln>
                  </pic:spPr>
                </pic:pic>
              </a:graphicData>
            </a:graphic>
          </wp:inline>
        </w:drawing>
      </w:r>
    </w:p>
    <w:p>
      <w:pPr>
        <w:spacing w:after="120"/>
        <w:jc w:val="center"/>
        <w:rPr>
          <w:rFonts w:eastAsia="宋体" w:cs="Times New Roman"/>
          <w:sz w:val="21"/>
          <w:szCs w:val="21"/>
        </w:rPr>
      </w:pPr>
      <w:r>
        <w:rPr>
          <w:rFonts w:eastAsia="宋体" w:cs="Times New Roman"/>
          <w:sz w:val="21"/>
          <w:szCs w:val="21"/>
        </w:rPr>
        <w:t xml:space="preserve">图7.2-5 </w:t>
      </w:r>
      <w:r>
        <w:rPr>
          <w:rFonts w:hint="eastAsia" w:eastAsia="宋体" w:cs="Times New Roman"/>
          <w:sz w:val="21"/>
          <w:szCs w:val="21"/>
        </w:rPr>
        <w:t>劳动防护用品领用记录</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6.在易燃易爆区不宜动火，设备需要动火检修时，应尽量移到动火区进行。</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7.在有毒物质的设备、管道和容器内检修时，应符合以下规定：</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 xml:space="preserve"> （1）应可靠地切断物料进出口，有毒物质的浓度应小于允许值，同时含氧量应在18%～22%（体积百分浓度）范围内；</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 xml:space="preserve"> （2）监护人不应少于2人，应备好防毒面具和防护用品，检修人员应熟悉防毒面具的性能和使用方法；</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 xml:space="preserve">  (3）设备内照明电压应小于等于36V，在潮湿容器、狭小容器内作业应小于等于12V。 </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p>
      <w:pPr>
        <w:adjustRightInd w:val="0"/>
        <w:snapToGrid w:val="0"/>
        <w:spacing w:line="360" w:lineRule="auto"/>
        <w:ind w:firstLine="480" w:firstLineChars="200"/>
        <w:contextualSpacing/>
        <w:jc w:val="left"/>
        <w:rPr>
          <w:rFonts w:cs="Times New Roman" w:eastAsiaTheme="minorEastAsia"/>
          <w:sz w:val="24"/>
        </w:rPr>
      </w:pPr>
      <w:r>
        <w:rPr>
          <w:rFonts w:hint="eastAsia" w:cs="Times New Roman" w:eastAsiaTheme="minorEastAsia"/>
          <w:sz w:val="24"/>
        </w:rPr>
        <w:t>在有毒物质的设备、管道和容器内检修时，应按有限空间作业要求管理。</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8.对易燃、易爆或易中毒物质的设备动火或进入内部工作时，监护人不应少于2人。安全分析取样时间不应早于工作前半小时，工作中应每两小时重新分析一次，工作中断半小时以上也应重新分析。</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p>
      <w:pPr>
        <w:adjustRightInd w:val="0"/>
        <w:snapToGrid w:val="0"/>
        <w:spacing w:line="360" w:lineRule="auto"/>
        <w:ind w:firstLine="480" w:firstLineChars="200"/>
        <w:contextualSpacing/>
        <w:jc w:val="left"/>
        <w:rPr>
          <w:rFonts w:cs="Times New Roman" w:eastAsiaTheme="minorEastAsia"/>
          <w:sz w:val="24"/>
        </w:rPr>
      </w:pPr>
      <w:r>
        <w:rPr>
          <w:rFonts w:hint="eastAsia" w:cs="Times New Roman" w:eastAsiaTheme="minorEastAsia"/>
          <w:sz w:val="24"/>
        </w:rPr>
        <w:t>对易燃、易爆或易中毒物质的设备动火或进入内部工作时，应按动火作业和有限空间作业要求管理。</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9.在全部停电或部分停电的电气设备上作业，应遵守下列规定：</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 xml:space="preserve"> （1）拉闸断电，并采取开关箱加锁等措施；</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 xml:space="preserve"> （2）验电、放电；</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 xml:space="preserve"> （3）各相短路接地；</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 xml:space="preserve"> （4）悬挂“禁止合闸，有人工作”的标示牌和装设遮拦。</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在全部停电或部分停电的电气设备上作业，应遵守操作牌管理制度。</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10.建立警示标志和安全防护的管理制度。</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6"/>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3" w:type="dxa"/>
            <w:gridSpan w:val="2"/>
          </w:tcPr>
          <w:p>
            <w:pPr>
              <w:jc w:val="center"/>
              <w:rPr>
                <w:sz w:val="21"/>
                <w:szCs w:val="21"/>
              </w:rPr>
            </w:pPr>
            <w:r>
              <w:rPr>
                <w:rFonts w:hint="eastAsia"/>
                <w:sz w:val="21"/>
                <w:szCs w:val="21"/>
              </w:rPr>
              <w:t>安全警示标志和安全防护管理制度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rPr>
                <w:sz w:val="21"/>
                <w:szCs w:val="21"/>
              </w:rPr>
            </w:pPr>
            <w:r>
              <w:rPr>
                <w:rFonts w:hint="eastAsia"/>
                <w:sz w:val="21"/>
                <w:szCs w:val="21"/>
              </w:rPr>
              <w:t>1目的</w:t>
            </w:r>
          </w:p>
          <w:p>
            <w:pPr>
              <w:rPr>
                <w:sz w:val="21"/>
                <w:szCs w:val="21"/>
              </w:rPr>
            </w:pPr>
            <w:r>
              <w:rPr>
                <w:rFonts w:hint="eastAsia"/>
                <w:sz w:val="21"/>
                <w:szCs w:val="21"/>
              </w:rPr>
              <w:t>2 适用范围</w:t>
            </w:r>
          </w:p>
          <w:p>
            <w:pPr>
              <w:rPr>
                <w:sz w:val="21"/>
                <w:szCs w:val="21"/>
              </w:rPr>
            </w:pPr>
            <w:r>
              <w:rPr>
                <w:rFonts w:hint="eastAsia"/>
                <w:sz w:val="21"/>
                <w:szCs w:val="21"/>
              </w:rPr>
              <w:t>3 安全标志标识</w:t>
            </w:r>
          </w:p>
          <w:p>
            <w:pPr>
              <w:rPr>
                <w:sz w:val="21"/>
                <w:szCs w:val="21"/>
              </w:rPr>
            </w:pPr>
            <w:r>
              <w:rPr>
                <w:rFonts w:hint="eastAsia"/>
                <w:sz w:val="21"/>
                <w:szCs w:val="21"/>
              </w:rPr>
              <w:t>4 安全色</w:t>
            </w:r>
          </w:p>
        </w:tc>
        <w:tc>
          <w:tcPr>
            <w:tcW w:w="3057" w:type="dxa"/>
          </w:tcPr>
          <w:p>
            <w:pPr>
              <w:rPr>
                <w:sz w:val="21"/>
                <w:szCs w:val="21"/>
              </w:rPr>
            </w:pPr>
            <w:r>
              <w:rPr>
                <w:rFonts w:hint="eastAsia"/>
                <w:sz w:val="21"/>
                <w:szCs w:val="21"/>
              </w:rPr>
              <w:t>5 安全标志种类及使用目的</w:t>
            </w:r>
          </w:p>
          <w:p>
            <w:pPr>
              <w:rPr>
                <w:sz w:val="21"/>
                <w:szCs w:val="21"/>
              </w:rPr>
            </w:pPr>
            <w:r>
              <w:rPr>
                <w:rFonts w:hint="eastAsia"/>
                <w:sz w:val="21"/>
                <w:szCs w:val="21"/>
              </w:rPr>
              <w:t>5.1图形标志</w:t>
            </w:r>
          </w:p>
          <w:p>
            <w:pPr>
              <w:rPr>
                <w:sz w:val="21"/>
                <w:szCs w:val="21"/>
              </w:rPr>
            </w:pPr>
            <w:r>
              <w:rPr>
                <w:rFonts w:hint="eastAsia"/>
                <w:sz w:val="21"/>
                <w:szCs w:val="21"/>
              </w:rPr>
              <w:t>5.2警示线、警示语句</w:t>
            </w:r>
          </w:p>
          <w:p>
            <w:pPr>
              <w:rPr>
                <w:sz w:val="21"/>
                <w:szCs w:val="21"/>
              </w:rPr>
            </w:pPr>
            <w:r>
              <w:rPr>
                <w:rFonts w:hint="eastAsia"/>
                <w:sz w:val="21"/>
                <w:szCs w:val="21"/>
              </w:rPr>
              <w:t>6 工作要求</w:t>
            </w:r>
          </w:p>
        </w:tc>
      </w:tr>
    </w:tbl>
    <w:p>
      <w:pPr>
        <w:spacing w:after="120"/>
        <w:jc w:val="center"/>
        <w:rPr>
          <w:rFonts w:eastAsia="宋体" w:cs="Times New Roman"/>
          <w:sz w:val="21"/>
          <w:szCs w:val="21"/>
        </w:rPr>
      </w:pPr>
      <w:r>
        <w:rPr>
          <w:rFonts w:eastAsia="宋体" w:cs="Times New Roman"/>
          <w:sz w:val="21"/>
          <w:szCs w:val="21"/>
        </w:rPr>
        <w:t xml:space="preserve">图7.2-2 </w:t>
      </w:r>
      <w:r>
        <w:rPr>
          <w:rFonts w:hint="eastAsia" w:eastAsia="宋体" w:cs="Times New Roman"/>
          <w:sz w:val="21"/>
          <w:szCs w:val="21"/>
        </w:rPr>
        <w:t>安全警示标志和安全防护管理制度要求</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三、警示标志</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（一）企业应根据作业场所的实际情况，按照GB2894及企业内部规定，在有较大危险因素的作业场所和设备设施上，设置明显的安全警示标志，进行危险提示、警示，告知危险的种类、后果及应急措施等；</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在有较大危险因素的作业场所或有关设备上，设置符合《安全标志》（GB2894）和《安全色》（GB2893）规定的安全警示标志和安全色。</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p>
      <w:pPr>
        <w:wordWrap w:val="0"/>
        <w:adjustRightInd w:val="0"/>
        <w:snapToGrid w:val="0"/>
        <w:spacing w:line="360" w:lineRule="auto"/>
        <w:ind w:firstLine="480" w:firstLineChars="200"/>
        <w:contextualSpacing/>
        <w:jc w:val="left"/>
        <w:rPr>
          <w:rFonts w:cs="Times New Roman" w:eastAsiaTheme="minorEastAsia"/>
          <w:sz w:val="24"/>
        </w:rPr>
      </w:pPr>
      <w:r>
        <w:rPr>
          <w:rFonts w:hint="eastAsia" w:cs="Times New Roman" w:eastAsiaTheme="minorEastAsia"/>
          <w:sz w:val="24"/>
        </w:rPr>
        <w:t>企业应在有较大危险因素的作业场所或有关设备上，设置符合《安全标志》（GB2894）和《安全色》（GB2893）规定的安全警示标志和安全色。</w:t>
      </w:r>
    </w:p>
    <w:p>
      <w:pPr>
        <w:adjustRightInd w:val="0"/>
        <w:snapToGrid w:val="0"/>
        <w:spacing w:line="360" w:lineRule="auto"/>
        <w:ind w:firstLine="480" w:firstLineChars="200"/>
        <w:contextualSpacing/>
        <w:jc w:val="left"/>
        <w:rPr>
          <w:rFonts w:cs="Times New Roman" w:eastAsiaTheme="minorEastAsia"/>
          <w:sz w:val="24"/>
        </w:rPr>
      </w:pPr>
      <w:bookmarkStart w:id="33" w:name="_Hlk93615671"/>
      <w:r>
        <w:rPr>
          <w:rFonts w:cs="Times New Roman" w:eastAsiaTheme="minorEastAsia"/>
          <w:sz w:val="24"/>
        </w:rPr>
        <w:t>具体要求：</w:t>
      </w:r>
      <w:r>
        <w:rPr>
          <w:rFonts w:hint="eastAsia" w:cs="Times New Roman" w:eastAsiaTheme="minorEastAsia"/>
          <w:sz w:val="24"/>
        </w:rPr>
        <w:t>见第十四章表14.3-1</w:t>
      </w:r>
    </w:p>
    <w:bookmarkEnd w:id="33"/>
    <w:p>
      <w:pPr>
        <w:numPr>
          <w:ilvl w:val="0"/>
          <w:numId w:val="2"/>
        </w:num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企业应在设备设施检维修、施工、吊装等作业现场设置警戒区域和警示标志，在检维修现场的坑、井、洼、沟、陡坡等场所设置围栏和警示标志；</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1.危险化学品专用仓库、特种设备、产生严重职业危害的作业岗位，应按照有关规定设置标识及警示标志。</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2.在设备设施检维修、施工、吊装等作业现场设置警戒区域和警示标志，在检维修现场的坑、井、洼、沟、陡坡等场所设置围栏和警示标志。</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3.设备裸露的运转部分，应设有防护罩、防护栏杆或防护挡板。</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4.吊装孔应设置防护盖板或栏杆，并应设警示标志。</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5.煤气容易泄露和积聚的场所，应设醒目的警示标志。</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p>
      <w:pPr>
        <w:adjustRightInd w:val="0"/>
        <w:snapToGrid w:val="0"/>
        <w:spacing w:line="360" w:lineRule="auto"/>
        <w:ind w:firstLine="480" w:firstLineChars="200"/>
        <w:contextualSpacing/>
        <w:jc w:val="left"/>
        <w:rPr>
          <w:rFonts w:cs="Times New Roman" w:eastAsiaTheme="minorEastAsia"/>
          <w:sz w:val="24"/>
        </w:rPr>
      </w:pPr>
      <w:r>
        <w:rPr>
          <w:rFonts w:hint="eastAsia" w:cs="Times New Roman" w:eastAsiaTheme="minorEastAsia"/>
          <w:sz w:val="24"/>
        </w:rPr>
        <w:t>企业应在设备设施检维修、施工、吊装等作业现场设置警戒区域和警示标志，在检维修现场的坑、井、洼、沟、陡坡等场所设置围栏和警示标志</w:t>
      </w:r>
      <w:r>
        <w:rPr>
          <w:rFonts w:cs="Times New Roman" w:eastAsiaTheme="minorEastAsia"/>
          <w:sz w:val="24"/>
        </w:rPr>
        <w:t>。</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具体要求：</w:t>
      </w:r>
      <w:r>
        <w:rPr>
          <w:rFonts w:hint="eastAsia" w:cs="Times New Roman" w:eastAsiaTheme="minorEastAsia"/>
          <w:sz w:val="24"/>
        </w:rPr>
        <w:t>见第十四章表14.</w:t>
      </w:r>
      <w:r>
        <w:rPr>
          <w:rFonts w:cs="Times New Roman" w:eastAsiaTheme="minorEastAsia"/>
          <w:sz w:val="24"/>
        </w:rPr>
        <w:t>6</w:t>
      </w:r>
      <w:r>
        <w:rPr>
          <w:rFonts w:hint="eastAsia" w:cs="Times New Roman" w:eastAsiaTheme="minorEastAsia"/>
          <w:sz w:val="24"/>
        </w:rPr>
        <w:t>-1，14.</w:t>
      </w:r>
      <w:r>
        <w:rPr>
          <w:rFonts w:cs="Times New Roman" w:eastAsiaTheme="minorEastAsia"/>
          <w:sz w:val="24"/>
        </w:rPr>
        <w:t>6</w:t>
      </w:r>
      <w:r>
        <w:rPr>
          <w:rFonts w:hint="eastAsia" w:cs="Times New Roman" w:eastAsiaTheme="minorEastAsia"/>
          <w:sz w:val="24"/>
        </w:rPr>
        <w:t>-</w:t>
      </w:r>
      <w:r>
        <w:rPr>
          <w:rFonts w:cs="Times New Roman" w:eastAsiaTheme="minorEastAsia"/>
          <w:sz w:val="24"/>
        </w:rPr>
        <w:t>2</w:t>
      </w:r>
      <w:r>
        <w:rPr>
          <w:rFonts w:hint="eastAsia" w:cs="Times New Roman" w:eastAsiaTheme="minorEastAsia"/>
          <w:sz w:val="24"/>
        </w:rPr>
        <w:t>，14.</w:t>
      </w:r>
      <w:r>
        <w:rPr>
          <w:rFonts w:cs="Times New Roman" w:eastAsiaTheme="minorEastAsia"/>
          <w:sz w:val="24"/>
        </w:rPr>
        <w:t>6</w:t>
      </w:r>
      <w:r>
        <w:rPr>
          <w:rFonts w:hint="eastAsia" w:cs="Times New Roman" w:eastAsiaTheme="minorEastAsia"/>
          <w:sz w:val="24"/>
        </w:rPr>
        <w:t>-</w:t>
      </w:r>
      <w:r>
        <w:rPr>
          <w:rFonts w:cs="Times New Roman" w:eastAsiaTheme="minorEastAsia"/>
          <w:sz w:val="24"/>
        </w:rPr>
        <w:t>3</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四、相关方管理（企业落实安全生产主体责任检查要点20条第15条）</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（一）企业应执行承包商、供应商等相关方管理制度，对其资格预审、选择、服务前准备、作业过程、提供的产品、技术服务、表现评估、续用等进行管理；</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 xml:space="preserve"> 对承包商、供应商等相关方的资格预审、选择、服务前准备、作业过程监督、提供的产品、技术服务、表现评估、续用等进行管理，建立相关方的名录和档案。</w:t>
      </w:r>
    </w:p>
    <w:p>
      <w:pPr>
        <w:adjustRightInd w:val="0"/>
        <w:snapToGrid w:val="0"/>
        <w:spacing w:line="360" w:lineRule="auto"/>
        <w:ind w:firstLine="480" w:firstLineChars="200"/>
        <w:contextualSpacing/>
        <w:jc w:val="left"/>
        <w:rPr>
          <w:rFonts w:cs="楷体" w:asciiTheme="minorEastAsia" w:hAnsiTheme="minorEastAsia" w:eastAsiaTheme="minorEastAsia"/>
          <w:sz w:val="24"/>
        </w:rPr>
      </w:pPr>
      <w:r>
        <w:rPr>
          <w:rFonts w:hint="eastAsia" w:cs="楷体" w:asciiTheme="minorEastAsia" w:hAnsiTheme="minorEastAsia" w:eastAsiaTheme="minorEastAsia"/>
          <w:sz w:val="24"/>
        </w:rPr>
        <w:t>释义：</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6"/>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3" w:type="dxa"/>
            <w:gridSpan w:val="2"/>
          </w:tcPr>
          <w:p>
            <w:pPr>
              <w:jc w:val="center"/>
              <w:rPr>
                <w:sz w:val="21"/>
                <w:szCs w:val="21"/>
              </w:rPr>
            </w:pPr>
            <w:r>
              <w:rPr>
                <w:rFonts w:hint="eastAsia"/>
                <w:sz w:val="21"/>
                <w:szCs w:val="21"/>
              </w:rPr>
              <w:t>相关方管理制度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6" w:type="dxa"/>
          </w:tcPr>
          <w:p>
            <w:pPr>
              <w:rPr>
                <w:sz w:val="21"/>
                <w:szCs w:val="21"/>
              </w:rPr>
            </w:pPr>
            <w:r>
              <w:rPr>
                <w:rFonts w:hint="eastAsia"/>
                <w:sz w:val="21"/>
                <w:szCs w:val="21"/>
              </w:rPr>
              <w:t>1目的</w:t>
            </w:r>
          </w:p>
          <w:p>
            <w:pPr>
              <w:rPr>
                <w:sz w:val="21"/>
                <w:szCs w:val="21"/>
              </w:rPr>
            </w:pPr>
            <w:r>
              <w:rPr>
                <w:rFonts w:hint="eastAsia"/>
                <w:sz w:val="21"/>
                <w:szCs w:val="21"/>
              </w:rPr>
              <w:t>2 适用范围</w:t>
            </w:r>
          </w:p>
          <w:p>
            <w:pPr>
              <w:rPr>
                <w:sz w:val="21"/>
                <w:szCs w:val="21"/>
              </w:rPr>
            </w:pPr>
            <w:r>
              <w:rPr>
                <w:rFonts w:hint="eastAsia"/>
                <w:sz w:val="21"/>
                <w:szCs w:val="21"/>
              </w:rPr>
              <w:t>3 安全标志标识</w:t>
            </w:r>
          </w:p>
          <w:p>
            <w:pPr>
              <w:rPr>
                <w:sz w:val="21"/>
                <w:szCs w:val="21"/>
              </w:rPr>
            </w:pPr>
            <w:r>
              <w:rPr>
                <w:rFonts w:hint="eastAsia"/>
                <w:sz w:val="21"/>
                <w:szCs w:val="21"/>
              </w:rPr>
              <w:t>4 安全色</w:t>
            </w:r>
          </w:p>
          <w:p>
            <w:pPr>
              <w:rPr>
                <w:sz w:val="21"/>
                <w:szCs w:val="21"/>
              </w:rPr>
            </w:pPr>
          </w:p>
        </w:tc>
        <w:tc>
          <w:tcPr>
            <w:tcW w:w="3057" w:type="dxa"/>
          </w:tcPr>
          <w:p>
            <w:pPr>
              <w:rPr>
                <w:sz w:val="21"/>
                <w:szCs w:val="21"/>
              </w:rPr>
            </w:pPr>
            <w:r>
              <w:rPr>
                <w:rFonts w:hint="eastAsia"/>
                <w:sz w:val="21"/>
                <w:szCs w:val="21"/>
              </w:rPr>
              <w:t>5 安全标志种类及使用目的</w:t>
            </w:r>
          </w:p>
          <w:p>
            <w:pPr>
              <w:rPr>
                <w:sz w:val="21"/>
                <w:szCs w:val="21"/>
              </w:rPr>
            </w:pPr>
            <w:r>
              <w:rPr>
                <w:rFonts w:hint="eastAsia"/>
                <w:sz w:val="21"/>
                <w:szCs w:val="21"/>
              </w:rPr>
              <w:t>5.1图形标志</w:t>
            </w:r>
          </w:p>
          <w:p>
            <w:pPr>
              <w:rPr>
                <w:sz w:val="21"/>
                <w:szCs w:val="21"/>
              </w:rPr>
            </w:pPr>
            <w:r>
              <w:rPr>
                <w:rFonts w:hint="eastAsia"/>
                <w:sz w:val="21"/>
                <w:szCs w:val="21"/>
              </w:rPr>
              <w:t>5.2警示线、警示语句</w:t>
            </w:r>
          </w:p>
          <w:p>
            <w:pPr>
              <w:rPr>
                <w:sz w:val="21"/>
                <w:szCs w:val="21"/>
              </w:rPr>
            </w:pPr>
            <w:r>
              <w:rPr>
                <w:rFonts w:hint="eastAsia"/>
                <w:sz w:val="21"/>
                <w:szCs w:val="21"/>
              </w:rPr>
              <w:t>6 工作要求</w:t>
            </w:r>
          </w:p>
        </w:tc>
      </w:tr>
    </w:tbl>
    <w:p>
      <w:pPr>
        <w:spacing w:after="120"/>
        <w:jc w:val="center"/>
        <w:rPr>
          <w:rFonts w:eastAsia="宋体" w:cs="Times New Roman"/>
          <w:sz w:val="21"/>
          <w:szCs w:val="21"/>
        </w:rPr>
      </w:pPr>
      <w:bookmarkStart w:id="34" w:name="_Hlk93648720"/>
      <w:r>
        <w:rPr>
          <w:rFonts w:eastAsia="宋体" w:cs="Times New Roman"/>
          <w:sz w:val="21"/>
          <w:szCs w:val="21"/>
        </w:rPr>
        <w:t xml:space="preserve">图7.4-1 </w:t>
      </w:r>
      <w:r>
        <w:rPr>
          <w:rFonts w:hint="eastAsia" w:eastAsia="宋体" w:cs="Times New Roman"/>
          <w:sz w:val="21"/>
          <w:szCs w:val="21"/>
        </w:rPr>
        <w:t>相关方管理制度要求</w:t>
      </w:r>
    </w:p>
    <w:bookmarkEnd w:id="34"/>
    <w:p>
      <w:pPr>
        <w:pStyle w:val="2"/>
        <w:jc w:val="center"/>
      </w:pPr>
      <w:r>
        <w:drawing>
          <wp:inline distT="0" distB="0" distL="0" distR="0">
            <wp:extent cx="3009265" cy="1802130"/>
            <wp:effectExtent l="0" t="0" r="635" b="7620"/>
            <wp:docPr id="7225" name="图片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 name="图片 7225"/>
                    <pic:cNvPicPr>
                      <a:picLocks noChangeAspect="1"/>
                    </pic:cNvPicPr>
                  </pic:nvPicPr>
                  <pic:blipFill>
                    <a:blip r:embed="rId104"/>
                    <a:srcRect t="4427"/>
                    <a:stretch>
                      <a:fillRect/>
                    </a:stretch>
                  </pic:blipFill>
                  <pic:spPr>
                    <a:xfrm>
                      <a:off x="0" y="0"/>
                      <a:ext cx="3016261" cy="1806468"/>
                    </a:xfrm>
                    <a:prstGeom prst="rect">
                      <a:avLst/>
                    </a:prstGeom>
                    <a:ln>
                      <a:noFill/>
                    </a:ln>
                  </pic:spPr>
                </pic:pic>
              </a:graphicData>
            </a:graphic>
          </wp:inline>
        </w:drawing>
      </w:r>
    </w:p>
    <w:p>
      <w:pPr>
        <w:jc w:val="center"/>
        <w:rPr>
          <w:rFonts w:eastAsia="宋体" w:cs="Times New Roman"/>
          <w:sz w:val="21"/>
          <w:szCs w:val="21"/>
        </w:rPr>
      </w:pPr>
      <w:bookmarkStart w:id="35" w:name="_Hlk93648800"/>
      <w:r>
        <w:rPr>
          <w:rFonts w:eastAsia="宋体" w:cs="Times New Roman"/>
          <w:sz w:val="21"/>
          <w:szCs w:val="21"/>
        </w:rPr>
        <w:t xml:space="preserve">图7.4-2 </w:t>
      </w:r>
      <w:r>
        <w:rPr>
          <w:rFonts w:hint="eastAsia" w:eastAsia="宋体" w:cs="Times New Roman"/>
          <w:sz w:val="21"/>
          <w:szCs w:val="21"/>
        </w:rPr>
        <w:t>供应商名录示例</w:t>
      </w:r>
      <w:bookmarkEnd w:id="35"/>
    </w:p>
    <w:p>
      <w:pPr>
        <w:pStyle w:val="2"/>
        <w:jc w:val="center"/>
      </w:pPr>
      <w:r>
        <w:drawing>
          <wp:inline distT="0" distB="0" distL="0" distR="0">
            <wp:extent cx="2239010" cy="2838450"/>
            <wp:effectExtent l="0" t="0" r="889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05"/>
                    <a:stretch>
                      <a:fillRect/>
                    </a:stretch>
                  </pic:blipFill>
                  <pic:spPr>
                    <a:xfrm>
                      <a:off x="0" y="0"/>
                      <a:ext cx="2241617" cy="2841651"/>
                    </a:xfrm>
                    <a:prstGeom prst="rect">
                      <a:avLst/>
                    </a:prstGeom>
                  </pic:spPr>
                </pic:pic>
              </a:graphicData>
            </a:graphic>
          </wp:inline>
        </w:drawing>
      </w:r>
    </w:p>
    <w:p>
      <w:pPr>
        <w:pStyle w:val="2"/>
        <w:spacing w:after="0"/>
        <w:jc w:val="center"/>
      </w:pPr>
      <w:r>
        <w:rPr>
          <w:sz w:val="21"/>
          <w:szCs w:val="21"/>
        </w:rPr>
        <w:t xml:space="preserve">图7.4-2 </w:t>
      </w:r>
      <w:r>
        <w:rPr>
          <w:rFonts w:hint="eastAsia"/>
          <w:sz w:val="21"/>
          <w:szCs w:val="21"/>
        </w:rPr>
        <w:t>供应商评定记录示例</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（二）企业应建立合格相关方的名录和档案，根据服务作业行为定期识别服务行为风险，并采取行之有效的控制措施；</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根据相关方提供的服务作业性质和行为定期识别服务行为风险，采取行之有效的风险控制措施，并对其安全绩效进行监测。</w:t>
      </w:r>
    </w:p>
    <w:p>
      <w:pPr>
        <w:numPr>
          <w:ilvl w:val="0"/>
          <w:numId w:val="2"/>
        </w:num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企业应对进入同一作业区的相关方进行统一安全管理；</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甲方应统一协调管理同一作业区域内的多个相关方的交叉作业。</w:t>
      </w:r>
    </w:p>
    <w:p>
      <w:pPr>
        <w:numPr>
          <w:ilvl w:val="0"/>
          <w:numId w:val="2"/>
        </w:num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企业要加强外包项目和外来作业人员的安全管理；</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按照外包作业管理相关规定，将外包项目和外来作业人员的安全管理纳入企业安全生产管理范围。</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（五）不得将项目委托给不具备相应资质或条件的相关方。企业和相关方的项目协议应明确规定双方的安全生产责任和义务；</w:t>
      </w:r>
    </w:p>
    <w:p>
      <w:pPr>
        <w:adjustRightInd w:val="0"/>
        <w:snapToGrid w:val="0"/>
        <w:spacing w:line="360" w:lineRule="auto"/>
        <w:ind w:firstLine="482" w:firstLineChars="200"/>
        <w:contextualSpacing/>
        <w:jc w:val="left"/>
        <w:outlineLvl w:val="1"/>
        <w:rPr>
          <w:rFonts w:cs="Times New Roman" w:eastAsiaTheme="majorEastAsia"/>
          <w:b/>
          <w:bCs/>
          <w:sz w:val="24"/>
        </w:rPr>
      </w:pPr>
      <w:r>
        <w:rPr>
          <w:rFonts w:cs="Times New Roman" w:eastAsiaTheme="majorEastAsia"/>
          <w:b/>
          <w:bCs/>
          <w:sz w:val="24"/>
        </w:rPr>
        <w:t>五、变更</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应执行变更管理制度，对机构、人员、工艺、技术、设备设施、作业过程及环境等永久性或暂时性的变化进行有计划的控制。变更的实施应履行审批及验收程序，并对变更过程及变更所产生的隐患进行分析和控制；</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1.建立有关人员、机构、工艺、技术、设施、作业过程及环境变更的管理制度，并制定实施计划。</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2.对变更的实施进行审批和验收管理，并对变更过程及变更后所产生的风险和隐患进行辨识、评估和控制。</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3.变更安全设施，在建设阶段应经设计单位书面同意，在投用后应经安全管理部门书面同意。重大变更的，还应报安全生产监督管理部门备案。</w:t>
      </w:r>
      <w:bookmarkStart w:id="36" w:name="_Hlk92012726"/>
    </w:p>
    <w:p>
      <w:pPr>
        <w:adjustRightInd w:val="0"/>
        <w:snapToGrid w:val="0"/>
        <w:spacing w:line="360" w:lineRule="auto"/>
        <w:ind w:firstLine="480" w:firstLineChars="200"/>
        <w:contextualSpacing/>
        <w:jc w:val="left"/>
        <w:rPr>
          <w:rFonts w:cs="Times New Roman" w:eastAsiaTheme="minorEastAsia"/>
          <w:sz w:val="24"/>
        </w:rPr>
      </w:pPr>
      <w:r>
        <w:rPr>
          <w:rFonts w:hint="eastAsia" w:cs="Times New Roman" w:eastAsiaTheme="minorEastAsia"/>
          <w:sz w:val="24"/>
        </w:rPr>
        <w:t>释义</w:t>
      </w:r>
      <w:r>
        <w:rPr>
          <w:rFonts w:cs="Times New Roman" w:eastAsiaTheme="minorEastAsia"/>
          <w:sz w:val="24"/>
        </w:rPr>
        <w:t>：</w:t>
      </w:r>
    </w:p>
    <w:bookmarkEnd w:id="36"/>
    <w:p>
      <w:pPr>
        <w:pStyle w:val="2"/>
        <w:jc w:val="center"/>
      </w:pPr>
      <w:r>
        <w:drawing>
          <wp:inline distT="0" distB="0" distL="0" distR="0">
            <wp:extent cx="3107055" cy="1880235"/>
            <wp:effectExtent l="0" t="0" r="0" b="571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06"/>
                    <a:stretch>
                      <a:fillRect/>
                    </a:stretch>
                  </pic:blipFill>
                  <pic:spPr>
                    <a:xfrm>
                      <a:off x="0" y="0"/>
                      <a:ext cx="3157663" cy="1910910"/>
                    </a:xfrm>
                    <a:prstGeom prst="rect">
                      <a:avLst/>
                    </a:prstGeom>
                  </pic:spPr>
                </pic:pic>
              </a:graphicData>
            </a:graphic>
          </wp:inline>
        </w:drawing>
      </w:r>
    </w:p>
    <w:p>
      <w:pPr>
        <w:jc w:val="center"/>
        <w:rPr>
          <w:rFonts w:eastAsia="宋体" w:cs="Times New Roman"/>
          <w:b/>
          <w:bCs/>
          <w:sz w:val="21"/>
          <w:szCs w:val="21"/>
        </w:rPr>
      </w:pPr>
      <w:r>
        <w:drawing>
          <wp:inline distT="0" distB="0" distL="0" distR="0">
            <wp:extent cx="3199765" cy="4016375"/>
            <wp:effectExtent l="0" t="0" r="635" b="317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07"/>
                    <a:stretch>
                      <a:fillRect/>
                    </a:stretch>
                  </pic:blipFill>
                  <pic:spPr>
                    <a:xfrm>
                      <a:off x="0" y="0"/>
                      <a:ext cx="3199765" cy="4016375"/>
                    </a:xfrm>
                    <a:prstGeom prst="rect">
                      <a:avLst/>
                    </a:prstGeom>
                  </pic:spPr>
                </pic:pic>
              </a:graphicData>
            </a:graphic>
          </wp:inline>
        </w:drawing>
      </w:r>
    </w:p>
    <w:p>
      <w:pPr>
        <w:jc w:val="center"/>
      </w:pPr>
      <w:r>
        <w:rPr>
          <w:rFonts w:eastAsia="宋体" w:cs="Times New Roman"/>
          <w:sz w:val="21"/>
          <w:szCs w:val="21"/>
        </w:rPr>
        <w:t xml:space="preserve">图7.5-1 </w:t>
      </w:r>
      <w:r>
        <w:rPr>
          <w:rFonts w:hint="eastAsia" w:eastAsia="宋体" w:cs="Times New Roman"/>
          <w:sz w:val="21"/>
          <w:szCs w:val="21"/>
        </w:rPr>
        <w:t>变更风险分析单示例</w:t>
      </w:r>
    </w:p>
    <w:p>
      <w:pPr>
        <w:pStyle w:val="2"/>
      </w:pPr>
      <w:r>
        <w:drawing>
          <wp:inline distT="0" distB="0" distL="0" distR="0">
            <wp:extent cx="1955800" cy="2694305"/>
            <wp:effectExtent l="0" t="0" r="635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08"/>
                    <a:stretch>
                      <a:fillRect/>
                    </a:stretch>
                  </pic:blipFill>
                  <pic:spPr>
                    <a:xfrm>
                      <a:off x="0" y="0"/>
                      <a:ext cx="1963365" cy="2704076"/>
                    </a:xfrm>
                    <a:prstGeom prst="rect">
                      <a:avLst/>
                    </a:prstGeom>
                  </pic:spPr>
                </pic:pic>
              </a:graphicData>
            </a:graphic>
          </wp:inline>
        </w:drawing>
      </w:r>
      <w:r>
        <w:drawing>
          <wp:inline distT="0" distB="0" distL="0" distR="0">
            <wp:extent cx="1924050" cy="2629535"/>
            <wp:effectExtent l="0" t="0" r="0" b="0"/>
            <wp:docPr id="7168" name="图片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图片 7168"/>
                    <pic:cNvPicPr>
                      <a:picLocks noChangeAspect="1"/>
                    </pic:cNvPicPr>
                  </pic:nvPicPr>
                  <pic:blipFill>
                    <a:blip r:embed="rId109"/>
                    <a:srcRect t="2845"/>
                    <a:stretch>
                      <a:fillRect/>
                    </a:stretch>
                  </pic:blipFill>
                  <pic:spPr>
                    <a:xfrm>
                      <a:off x="0" y="0"/>
                      <a:ext cx="1928472" cy="2635860"/>
                    </a:xfrm>
                    <a:prstGeom prst="rect">
                      <a:avLst/>
                    </a:prstGeom>
                    <a:ln>
                      <a:noFill/>
                    </a:ln>
                  </pic:spPr>
                </pic:pic>
              </a:graphicData>
            </a:graphic>
          </wp:inline>
        </w:drawing>
      </w:r>
    </w:p>
    <w:p>
      <w:pPr>
        <w:jc w:val="center"/>
      </w:pPr>
      <w:r>
        <w:rPr>
          <w:rFonts w:eastAsia="宋体" w:cs="Times New Roman"/>
          <w:sz w:val="21"/>
          <w:szCs w:val="21"/>
        </w:rPr>
        <w:t xml:space="preserve">图7.5-2 </w:t>
      </w:r>
      <w:r>
        <w:rPr>
          <w:rFonts w:hint="eastAsia" w:eastAsia="宋体" w:cs="Times New Roman"/>
          <w:sz w:val="21"/>
          <w:szCs w:val="21"/>
        </w:rPr>
        <w:t>变更风险分析单示例</w:t>
      </w:r>
    </w:p>
    <w:p>
      <w:pPr>
        <w:adjustRightInd w:val="0"/>
        <w:snapToGrid w:val="0"/>
        <w:spacing w:line="360" w:lineRule="auto"/>
        <w:ind w:firstLine="482" w:firstLineChars="200"/>
        <w:contextualSpacing/>
        <w:jc w:val="left"/>
        <w:outlineLvl w:val="1"/>
        <w:rPr>
          <w:rFonts w:cs="Times New Roman" w:eastAsiaTheme="minorEastAsia"/>
          <w:b/>
          <w:bCs/>
          <w:sz w:val="24"/>
        </w:rPr>
      </w:pPr>
      <w:r>
        <w:rPr>
          <w:rFonts w:hint="eastAsia" w:cs="Times New Roman" w:eastAsiaTheme="minorEastAsia"/>
          <w:b/>
          <w:bCs/>
          <w:sz w:val="24"/>
        </w:rPr>
        <w:t>六</w:t>
      </w:r>
      <w:r>
        <w:rPr>
          <w:rFonts w:cs="Times New Roman" w:eastAsiaTheme="minorEastAsia"/>
          <w:b/>
          <w:bCs/>
          <w:sz w:val="24"/>
        </w:rPr>
        <w:t>、材料清单</w:t>
      </w:r>
    </w:p>
    <w:p>
      <w:pPr>
        <w:tabs>
          <w:tab w:val="left" w:pos="709"/>
        </w:tabs>
        <w:adjustRightInd w:val="0"/>
        <w:snapToGrid w:val="0"/>
        <w:spacing w:line="360" w:lineRule="auto"/>
        <w:ind w:firstLine="480" w:firstLineChars="200"/>
        <w:contextualSpacing/>
        <w:rPr>
          <w:rFonts w:cs="Times New Roman" w:eastAsiaTheme="minorEastAsia"/>
          <w:sz w:val="24"/>
        </w:rPr>
      </w:pPr>
      <w:r>
        <w:rPr>
          <w:rFonts w:cs="Times New Roman" w:eastAsiaTheme="minorEastAsia"/>
          <w:sz w:val="24"/>
        </w:rPr>
        <w:t>1、“三违”行为管理制度2、生产作业过程中人的不安全行辨识3、操作牌制度4、劳动防护用品发放标准及记录5、警示标志和安全防护的管理制度6、相关方管理制度7、合格相关方的名录及考评记录8、变更风险分析9、变更申请、验收</w:t>
      </w:r>
    </w:p>
    <w:p>
      <w:pPr>
        <w:adjustRightInd w:val="0"/>
        <w:snapToGrid w:val="0"/>
        <w:spacing w:line="360" w:lineRule="auto"/>
        <w:ind w:firstLine="480" w:firstLineChars="200"/>
        <w:contextualSpacing/>
        <w:jc w:val="left"/>
        <w:outlineLvl w:val="1"/>
        <w:rPr>
          <w:rFonts w:cs="Times New Roman" w:eastAsiaTheme="minorEastAsia"/>
          <w:sz w:val="24"/>
        </w:rPr>
      </w:pPr>
      <w:r>
        <w:rPr>
          <w:rFonts w:hint="eastAsia" w:cs="Times New Roman" w:eastAsiaTheme="minorEastAsia"/>
          <w:sz w:val="24"/>
        </w:rPr>
        <w:t>七</w:t>
      </w:r>
      <w:r>
        <w:rPr>
          <w:rFonts w:cs="Times New Roman" w:eastAsiaTheme="minorEastAsia"/>
          <w:sz w:val="24"/>
        </w:rPr>
        <w:t>、引用的法规和标准</w:t>
      </w:r>
    </w:p>
    <w:p>
      <w:pPr>
        <w:tabs>
          <w:tab w:val="left" w:pos="709"/>
        </w:tabs>
        <w:adjustRightInd w:val="0"/>
        <w:snapToGrid w:val="0"/>
        <w:spacing w:line="360" w:lineRule="auto"/>
        <w:ind w:firstLine="566" w:firstLineChars="235"/>
        <w:contextualSpacing/>
        <w:rPr>
          <w:rFonts w:cs="Times New Roman"/>
          <w:b/>
          <w:bCs/>
          <w:sz w:val="24"/>
        </w:rPr>
      </w:pPr>
      <w:r>
        <w:rPr>
          <w:rFonts w:cs="Times New Roman"/>
          <w:b/>
          <w:bCs/>
          <w:sz w:val="24"/>
        </w:rPr>
        <w:t>1、《化学品生产单位特殊作业安全规范》GB 30871-2014</w:t>
      </w:r>
    </w:p>
    <w:p>
      <w:pPr>
        <w:widowControl/>
        <w:jc w:val="left"/>
        <w:rPr>
          <w:rFonts w:cs="Times New Roman" w:eastAsiaTheme="minorEastAsia"/>
          <w:b/>
          <w:bCs/>
          <w:sz w:val="24"/>
        </w:rPr>
      </w:pPr>
      <w:r>
        <w:rPr>
          <w:rFonts w:cs="Times New Roman" w:eastAsiaTheme="minorEastAsia"/>
          <w:b/>
          <w:bCs/>
          <w:sz w:val="24"/>
        </w:rPr>
        <w:br w:type="page"/>
      </w:r>
    </w:p>
    <w:p>
      <w:pPr>
        <w:adjustRightInd w:val="0"/>
        <w:snapToGrid w:val="0"/>
        <w:spacing w:line="360" w:lineRule="auto"/>
        <w:contextualSpacing/>
        <w:jc w:val="center"/>
        <w:outlineLvl w:val="0"/>
        <w:rPr>
          <w:rFonts w:eastAsia="黑体" w:cs="Times New Roman"/>
          <w:sz w:val="28"/>
          <w:szCs w:val="28"/>
        </w:rPr>
      </w:pPr>
      <w:bookmarkStart w:id="37" w:name="_Toc11974"/>
      <w:r>
        <w:rPr>
          <w:rFonts w:eastAsia="黑体" w:cs="Times New Roman"/>
          <w:sz w:val="28"/>
          <w:szCs w:val="28"/>
        </w:rPr>
        <w:t>第八章 隐患排查和治理</w:t>
      </w:r>
      <w:bookmarkEnd w:id="37"/>
    </w:p>
    <w:p>
      <w:pPr>
        <w:keepNext/>
        <w:keepLines/>
        <w:spacing w:line="360" w:lineRule="auto"/>
        <w:ind w:firstLine="482" w:firstLineChars="200"/>
        <w:outlineLvl w:val="1"/>
        <w:rPr>
          <w:rFonts w:cs="Times New Roman" w:eastAsiaTheme="majorEastAsia"/>
          <w:b/>
          <w:sz w:val="24"/>
          <w:szCs w:val="32"/>
        </w:rPr>
      </w:pPr>
      <w:r>
        <w:rPr>
          <w:rFonts w:cs="Times New Roman" w:eastAsiaTheme="majorEastAsia"/>
          <w:b/>
          <w:sz w:val="24"/>
          <w:szCs w:val="32"/>
        </w:rPr>
        <w:t>一、隐患排查</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（一）企业应组织事故隐患排查工作，对隐患进行分析评估，确定隐患等级，登记建档，及时采取有效的治理措施；</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建立隐患排查治理的管理制度，明确责任部门、人员、方法，完善隐患排查、治理、记录、通报、报告等重点环节的程序、方法和标准，明确和细化隐患排查的事项、内容和频次，并将责任逐一分解落实，推动全员参与自主排查隐患。</w:t>
      </w:r>
    </w:p>
    <w:p>
      <w:pPr>
        <w:spacing w:after="120"/>
        <w:ind w:firstLine="480" w:firstLineChars="200"/>
        <w:rPr>
          <w:rFonts w:eastAsia="宋体" w:cs="Times New Roman"/>
          <w:sz w:val="24"/>
        </w:rPr>
      </w:pPr>
      <w:r>
        <w:rPr>
          <w:rFonts w:eastAsia="宋体" w:cs="Times New Roman"/>
          <w:sz w:val="24"/>
        </w:rPr>
        <w:t>释义：</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9" w:type="dxa"/>
            <w:gridSpan w:val="2"/>
          </w:tcPr>
          <w:p>
            <w:pPr>
              <w:jc w:val="center"/>
              <w:rPr>
                <w:rFonts w:eastAsia="宋体" w:cs="Times New Roman"/>
                <w:sz w:val="21"/>
                <w:szCs w:val="21"/>
              </w:rPr>
            </w:pPr>
            <w:r>
              <w:rPr>
                <w:rFonts w:eastAsia="宋体" w:cs="Times New Roman"/>
                <w:sz w:val="21"/>
                <w:szCs w:val="21"/>
              </w:rPr>
              <w:t>隐患排查治理管理制度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9" w:type="dxa"/>
          </w:tcPr>
          <w:p>
            <w:pPr>
              <w:numPr>
                <w:ilvl w:val="0"/>
                <w:numId w:val="3"/>
              </w:numPr>
              <w:rPr>
                <w:rFonts w:eastAsia="宋体" w:cs="Times New Roman"/>
                <w:sz w:val="21"/>
                <w:szCs w:val="21"/>
              </w:rPr>
            </w:pPr>
            <w:r>
              <w:rPr>
                <w:rFonts w:eastAsia="宋体" w:cs="Times New Roman"/>
                <w:sz w:val="21"/>
                <w:szCs w:val="21"/>
              </w:rPr>
              <w:t>目的和适用范围</w:t>
            </w:r>
          </w:p>
          <w:p>
            <w:pPr>
              <w:numPr>
                <w:ilvl w:val="0"/>
                <w:numId w:val="3"/>
              </w:numPr>
              <w:rPr>
                <w:rFonts w:eastAsia="宋体" w:cs="Times New Roman"/>
                <w:sz w:val="21"/>
                <w:szCs w:val="21"/>
              </w:rPr>
            </w:pPr>
            <w:r>
              <w:rPr>
                <w:rFonts w:eastAsia="宋体" w:cs="Times New Roman"/>
                <w:sz w:val="21"/>
                <w:szCs w:val="21"/>
              </w:rPr>
              <w:t>术语和定义</w:t>
            </w:r>
          </w:p>
          <w:p>
            <w:pPr>
              <w:ind w:firstLine="420" w:firstLineChars="200"/>
              <w:rPr>
                <w:rFonts w:eastAsia="宋体" w:cs="Times New Roman"/>
                <w:sz w:val="21"/>
                <w:szCs w:val="21"/>
              </w:rPr>
            </w:pPr>
            <w:r>
              <w:rPr>
                <w:rFonts w:eastAsia="宋体" w:cs="Times New Roman"/>
                <w:sz w:val="21"/>
                <w:szCs w:val="21"/>
              </w:rPr>
              <w:t>2.1安全生产事故隐患</w:t>
            </w:r>
          </w:p>
          <w:p>
            <w:pPr>
              <w:ind w:firstLine="420" w:firstLineChars="200"/>
              <w:rPr>
                <w:rFonts w:eastAsia="宋体" w:cs="Times New Roman"/>
                <w:sz w:val="21"/>
                <w:szCs w:val="21"/>
              </w:rPr>
            </w:pPr>
            <w:r>
              <w:rPr>
                <w:rFonts w:eastAsia="宋体" w:cs="Times New Roman"/>
                <w:sz w:val="21"/>
                <w:szCs w:val="21"/>
              </w:rPr>
              <w:t>2.2一般事故隐患</w:t>
            </w:r>
          </w:p>
          <w:p>
            <w:pPr>
              <w:ind w:firstLine="420" w:firstLineChars="200"/>
              <w:rPr>
                <w:rFonts w:eastAsia="宋体" w:cs="Times New Roman"/>
                <w:sz w:val="21"/>
                <w:szCs w:val="21"/>
              </w:rPr>
            </w:pPr>
            <w:r>
              <w:rPr>
                <w:rFonts w:eastAsia="宋体" w:cs="Times New Roman"/>
                <w:sz w:val="21"/>
                <w:szCs w:val="21"/>
              </w:rPr>
              <w:t>2.3重大事故隐患（分为一、二、三级）</w:t>
            </w:r>
          </w:p>
          <w:p>
            <w:pPr>
              <w:ind w:firstLine="420" w:firstLineChars="200"/>
              <w:rPr>
                <w:rFonts w:eastAsia="宋体" w:cs="Times New Roman"/>
                <w:sz w:val="21"/>
                <w:szCs w:val="21"/>
              </w:rPr>
            </w:pPr>
            <w:r>
              <w:rPr>
                <w:rFonts w:eastAsia="宋体" w:cs="Times New Roman"/>
                <w:sz w:val="21"/>
                <w:szCs w:val="21"/>
              </w:rPr>
              <w:t>2.4一级重大事故隐患</w:t>
            </w:r>
          </w:p>
          <w:p>
            <w:pPr>
              <w:ind w:firstLine="420" w:firstLineChars="200"/>
              <w:rPr>
                <w:rFonts w:eastAsia="宋体" w:cs="Times New Roman"/>
                <w:sz w:val="21"/>
                <w:szCs w:val="21"/>
              </w:rPr>
            </w:pPr>
            <w:r>
              <w:rPr>
                <w:rFonts w:eastAsia="宋体" w:cs="Times New Roman"/>
                <w:sz w:val="21"/>
                <w:szCs w:val="21"/>
              </w:rPr>
              <w:t>2.5二级重大事故隐患</w:t>
            </w:r>
          </w:p>
          <w:p>
            <w:pPr>
              <w:ind w:firstLine="420" w:firstLineChars="200"/>
              <w:rPr>
                <w:rFonts w:eastAsia="宋体" w:cs="Times New Roman"/>
                <w:sz w:val="21"/>
                <w:szCs w:val="21"/>
              </w:rPr>
            </w:pPr>
            <w:r>
              <w:rPr>
                <w:rFonts w:eastAsia="宋体" w:cs="Times New Roman"/>
                <w:sz w:val="21"/>
                <w:szCs w:val="21"/>
              </w:rPr>
              <w:t>2.6三级重大事故隐患</w:t>
            </w:r>
          </w:p>
          <w:p>
            <w:pPr>
              <w:rPr>
                <w:rFonts w:eastAsia="宋体" w:cs="Times New Roman"/>
                <w:sz w:val="21"/>
                <w:szCs w:val="21"/>
              </w:rPr>
            </w:pPr>
            <w:r>
              <w:rPr>
                <w:rFonts w:eastAsia="宋体" w:cs="Times New Roman"/>
                <w:sz w:val="21"/>
                <w:szCs w:val="21"/>
              </w:rPr>
              <w:t>3、职责</w:t>
            </w:r>
          </w:p>
          <w:p>
            <w:pPr>
              <w:rPr>
                <w:rFonts w:eastAsia="宋体" w:cs="Times New Roman"/>
                <w:sz w:val="21"/>
                <w:szCs w:val="21"/>
              </w:rPr>
            </w:pPr>
            <w:r>
              <w:rPr>
                <w:rFonts w:eastAsia="宋体" w:cs="Times New Roman"/>
                <w:sz w:val="21"/>
                <w:szCs w:val="21"/>
              </w:rPr>
              <w:t>4、隐患治理程序</w:t>
            </w:r>
          </w:p>
          <w:p>
            <w:pPr>
              <w:ind w:firstLine="210" w:firstLineChars="100"/>
              <w:rPr>
                <w:rFonts w:eastAsia="宋体" w:cs="Times New Roman"/>
                <w:sz w:val="21"/>
                <w:szCs w:val="21"/>
              </w:rPr>
            </w:pPr>
            <w:r>
              <w:rPr>
                <w:rFonts w:eastAsia="宋体" w:cs="Times New Roman"/>
                <w:sz w:val="21"/>
                <w:szCs w:val="21"/>
              </w:rPr>
              <w:t>4.1隐患治理的范围</w:t>
            </w:r>
          </w:p>
        </w:tc>
        <w:tc>
          <w:tcPr>
            <w:tcW w:w="3170" w:type="dxa"/>
          </w:tcPr>
          <w:p>
            <w:pPr>
              <w:ind w:firstLine="210" w:firstLineChars="100"/>
              <w:rPr>
                <w:rFonts w:eastAsia="宋体" w:cs="Times New Roman"/>
                <w:sz w:val="21"/>
                <w:szCs w:val="21"/>
              </w:rPr>
            </w:pPr>
            <w:r>
              <w:rPr>
                <w:rFonts w:eastAsia="宋体" w:cs="Times New Roman"/>
                <w:sz w:val="21"/>
                <w:szCs w:val="21"/>
              </w:rPr>
              <w:t>4.2制定排查方案</w:t>
            </w:r>
          </w:p>
          <w:p>
            <w:pPr>
              <w:ind w:firstLine="210" w:firstLineChars="100"/>
              <w:rPr>
                <w:rFonts w:eastAsia="宋体" w:cs="Times New Roman"/>
                <w:sz w:val="21"/>
                <w:szCs w:val="21"/>
              </w:rPr>
            </w:pPr>
            <w:r>
              <w:rPr>
                <w:rFonts w:eastAsia="宋体" w:cs="Times New Roman"/>
                <w:sz w:val="21"/>
                <w:szCs w:val="21"/>
              </w:rPr>
              <w:t>4.3一般隐患的整改程序</w:t>
            </w:r>
          </w:p>
          <w:p>
            <w:pPr>
              <w:ind w:firstLine="210" w:firstLineChars="100"/>
              <w:rPr>
                <w:rFonts w:eastAsia="宋体" w:cs="Times New Roman"/>
                <w:sz w:val="21"/>
                <w:szCs w:val="21"/>
              </w:rPr>
            </w:pPr>
            <w:r>
              <w:rPr>
                <w:rFonts w:eastAsia="宋体" w:cs="Times New Roman"/>
                <w:sz w:val="21"/>
                <w:szCs w:val="21"/>
              </w:rPr>
              <w:t>4.4重大隐患治理方案应包括的内容</w:t>
            </w:r>
          </w:p>
          <w:p>
            <w:pPr>
              <w:ind w:firstLine="210" w:firstLineChars="100"/>
              <w:rPr>
                <w:rFonts w:eastAsia="宋体" w:cs="Times New Roman"/>
                <w:sz w:val="21"/>
                <w:szCs w:val="21"/>
              </w:rPr>
            </w:pPr>
            <w:r>
              <w:rPr>
                <w:rFonts w:eastAsia="宋体" w:cs="Times New Roman"/>
                <w:sz w:val="21"/>
                <w:szCs w:val="21"/>
              </w:rPr>
              <w:t>4.5对重大事故隐患的评估的要求</w:t>
            </w:r>
          </w:p>
          <w:p>
            <w:pPr>
              <w:ind w:firstLine="210" w:firstLineChars="100"/>
              <w:rPr>
                <w:rFonts w:eastAsia="宋体" w:cs="Times New Roman"/>
                <w:sz w:val="21"/>
                <w:szCs w:val="21"/>
              </w:rPr>
            </w:pPr>
            <w:r>
              <w:rPr>
                <w:rFonts w:eastAsia="宋体" w:cs="Times New Roman"/>
                <w:sz w:val="21"/>
                <w:szCs w:val="21"/>
              </w:rPr>
              <w:t>4.6重大事故隐患报告内容</w:t>
            </w:r>
          </w:p>
          <w:p>
            <w:pPr>
              <w:ind w:firstLine="210" w:firstLineChars="100"/>
              <w:rPr>
                <w:rFonts w:eastAsia="宋体" w:cs="Times New Roman"/>
                <w:sz w:val="21"/>
                <w:szCs w:val="21"/>
              </w:rPr>
            </w:pPr>
            <w:r>
              <w:rPr>
                <w:rFonts w:eastAsia="宋体" w:cs="Times New Roman"/>
                <w:sz w:val="21"/>
                <w:szCs w:val="21"/>
              </w:rPr>
              <w:t>4.7重大事故隐患档案内容</w:t>
            </w:r>
          </w:p>
          <w:p>
            <w:pPr>
              <w:ind w:firstLine="210" w:firstLineChars="100"/>
              <w:rPr>
                <w:rFonts w:eastAsia="宋体" w:cs="Times New Roman"/>
                <w:sz w:val="21"/>
                <w:szCs w:val="21"/>
              </w:rPr>
            </w:pPr>
            <w:r>
              <w:rPr>
                <w:rFonts w:eastAsia="宋体" w:cs="Times New Roman"/>
                <w:sz w:val="21"/>
                <w:szCs w:val="21"/>
              </w:rPr>
              <w:t>4.8 事故隐患整改验收</w:t>
            </w:r>
          </w:p>
          <w:p>
            <w:pPr>
              <w:rPr>
                <w:rFonts w:eastAsia="宋体" w:cs="Times New Roman"/>
                <w:sz w:val="21"/>
                <w:szCs w:val="21"/>
              </w:rPr>
            </w:pPr>
            <w:r>
              <w:rPr>
                <w:rFonts w:eastAsia="宋体" w:cs="Times New Roman"/>
                <w:sz w:val="21"/>
                <w:szCs w:val="21"/>
              </w:rPr>
              <w:t>5、相关记录</w:t>
            </w:r>
          </w:p>
        </w:tc>
      </w:tr>
    </w:tbl>
    <w:p>
      <w:pPr>
        <w:adjustRightInd w:val="0"/>
        <w:snapToGrid w:val="0"/>
        <w:spacing w:line="360" w:lineRule="auto"/>
        <w:ind w:firstLine="420" w:firstLineChars="200"/>
        <w:contextualSpacing/>
        <w:jc w:val="center"/>
        <w:rPr>
          <w:rFonts w:eastAsia="宋体" w:cs="Times New Roman"/>
          <w:sz w:val="21"/>
          <w:szCs w:val="21"/>
        </w:rPr>
      </w:pPr>
      <w:r>
        <w:rPr>
          <w:rFonts w:eastAsia="宋体" w:cs="Times New Roman"/>
          <w:sz w:val="21"/>
          <w:szCs w:val="21"/>
        </w:rPr>
        <w:t>图8.1-1 隐患排查治理管理制度范本</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2.对隐患进行分析评估，确定隐患等级，登记建档。</w:t>
      </w:r>
    </w:p>
    <w:p>
      <w:pPr>
        <w:spacing w:after="120"/>
        <w:ind w:firstLine="480" w:firstLineChars="200"/>
        <w:rPr>
          <w:rFonts w:eastAsia="宋体" w:cs="Times New Roman"/>
          <w:sz w:val="24"/>
        </w:rPr>
      </w:pPr>
      <w:r>
        <w:rPr>
          <w:rFonts w:eastAsia="宋体" w:cs="Times New Roman"/>
          <w:sz w:val="24"/>
        </w:rPr>
        <w:t>释义：</w:t>
      </w:r>
    </w:p>
    <w:p>
      <w:pPr>
        <w:spacing w:after="120"/>
        <w:rPr>
          <w:rFonts w:eastAsia="宋体" w:cs="Times New Roman"/>
          <w:sz w:val="24"/>
        </w:rPr>
      </w:pPr>
      <w:r>
        <w:rPr>
          <w:rFonts w:eastAsia="宋体" w:cs="Times New Roman"/>
          <w:sz w:val="28"/>
          <w:szCs w:val="20"/>
        </w:rPr>
        <w:drawing>
          <wp:inline distT="0" distB="0" distL="0" distR="0">
            <wp:extent cx="3886835" cy="2435860"/>
            <wp:effectExtent l="0" t="0" r="0" b="2540"/>
            <wp:docPr id="7179" name="图片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图片 7179"/>
                    <pic:cNvPicPr>
                      <a:picLocks noChangeAspect="1"/>
                    </pic:cNvPicPr>
                  </pic:nvPicPr>
                  <pic:blipFill>
                    <a:blip r:embed="rId110"/>
                    <a:stretch>
                      <a:fillRect/>
                    </a:stretch>
                  </pic:blipFill>
                  <pic:spPr>
                    <a:xfrm>
                      <a:off x="0" y="0"/>
                      <a:ext cx="3906024" cy="2447731"/>
                    </a:xfrm>
                    <a:prstGeom prst="rect">
                      <a:avLst/>
                    </a:prstGeom>
                  </pic:spPr>
                </pic:pic>
              </a:graphicData>
            </a:graphic>
          </wp:inline>
        </w:drawing>
      </w:r>
    </w:p>
    <w:p>
      <w:pPr>
        <w:adjustRightInd w:val="0"/>
        <w:snapToGrid w:val="0"/>
        <w:spacing w:line="360" w:lineRule="auto"/>
        <w:ind w:firstLine="420" w:firstLineChars="200"/>
        <w:contextualSpacing/>
        <w:jc w:val="center"/>
        <w:rPr>
          <w:rFonts w:eastAsia="宋体" w:cs="Times New Roman"/>
          <w:sz w:val="21"/>
          <w:szCs w:val="21"/>
        </w:rPr>
      </w:pPr>
      <w:r>
        <w:rPr>
          <w:rFonts w:eastAsia="宋体" w:cs="Times New Roman"/>
          <w:sz w:val="21"/>
          <w:szCs w:val="21"/>
        </w:rPr>
        <w:t>图8.1-2 隐患排查治理</w:t>
      </w:r>
      <w:r>
        <w:rPr>
          <w:rFonts w:hint="eastAsia" w:eastAsia="宋体" w:cs="Times New Roman"/>
          <w:sz w:val="21"/>
          <w:szCs w:val="21"/>
        </w:rPr>
        <w:t>记录</w:t>
      </w:r>
      <w:r>
        <w:rPr>
          <w:rFonts w:eastAsia="宋体" w:cs="Times New Roman"/>
          <w:sz w:val="21"/>
          <w:szCs w:val="21"/>
        </w:rPr>
        <w:t>范本</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二）法律法规、标准规范发生变更或有新的公布，以及企业操作条件或工艺改变，新建、改建、扩建项目建设，相关方进入、撤出或改变，对事故、事件或其他信息有新的认识，组织机构发生大的调整的，应及时组织隐患排查；</w:t>
      </w:r>
    </w:p>
    <w:p>
      <w:pPr>
        <w:widowControl/>
        <w:jc w:val="left"/>
        <w:rPr>
          <w:rFonts w:eastAsia="宋体" w:cs="Times New Roman"/>
          <w:sz w:val="24"/>
        </w:rPr>
      </w:pPr>
      <w:r>
        <w:rPr>
          <w:rFonts w:eastAsia="宋体" w:cs="Times New Roman"/>
          <w:sz w:val="24"/>
        </w:rPr>
        <w:br w:type="page"/>
      </w:r>
    </w:p>
    <w:p>
      <w:pPr>
        <w:numPr>
          <w:ilvl w:val="0"/>
          <w:numId w:val="4"/>
        </w:num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隐患排查前应制定排查方案，明确排查的目的、范围，选择合适的排查方法。排查方案应依据：</w:t>
      </w:r>
      <w:r>
        <w:rPr>
          <w:rFonts w:hint="eastAsia" w:ascii="宋体" w:hAnsi="宋体" w:eastAsia="宋体" w:cs="宋体"/>
          <w:sz w:val="24"/>
        </w:rPr>
        <w:t>①</w:t>
      </w:r>
      <w:r>
        <w:rPr>
          <w:rFonts w:eastAsia="宋体" w:cs="Times New Roman"/>
          <w:sz w:val="24"/>
        </w:rPr>
        <w:t>有关安全生产法律、法规要求；</w:t>
      </w:r>
      <w:r>
        <w:rPr>
          <w:rFonts w:hint="eastAsia" w:ascii="宋体" w:hAnsi="宋体" w:eastAsia="宋体" w:cs="宋体"/>
          <w:sz w:val="24"/>
        </w:rPr>
        <w:t>②</w:t>
      </w:r>
      <w:r>
        <w:rPr>
          <w:rFonts w:eastAsia="宋体" w:cs="Times New Roman"/>
          <w:sz w:val="24"/>
        </w:rPr>
        <w:t>设计规范、管理标准、技术标准；</w:t>
      </w:r>
      <w:r>
        <w:rPr>
          <w:rFonts w:hint="eastAsia" w:ascii="宋体" w:hAnsi="宋体" w:eastAsia="宋体" w:cs="宋体"/>
          <w:sz w:val="24"/>
        </w:rPr>
        <w:t>③</w:t>
      </w:r>
      <w:r>
        <w:rPr>
          <w:rFonts w:eastAsia="宋体" w:cs="Times New Roman"/>
          <w:sz w:val="24"/>
        </w:rPr>
        <w:t>企业的安全生产目标等；</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1</w:t>
      </w:r>
      <w:r>
        <w:rPr>
          <w:rFonts w:eastAsia="宋体" w:cs="Times New Roman"/>
          <w:sz w:val="24"/>
        </w:rPr>
        <w:t>.制定隐患排查工作方案，明确排查的目的、范围、方法和要求等。</w:t>
      </w:r>
    </w:p>
    <w:p>
      <w:pPr>
        <w:spacing w:after="120"/>
        <w:ind w:firstLine="480" w:firstLineChars="200"/>
        <w:rPr>
          <w:rFonts w:eastAsia="宋体" w:cs="Times New Roman"/>
          <w:sz w:val="24"/>
        </w:rPr>
      </w:pPr>
      <w:r>
        <w:rPr>
          <w:rFonts w:eastAsia="宋体" w:cs="Times New Roman"/>
          <w:sz w:val="24"/>
        </w:rPr>
        <w:t>释义：</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9" w:type="dxa"/>
            <w:gridSpan w:val="2"/>
          </w:tcPr>
          <w:p>
            <w:pPr>
              <w:jc w:val="center"/>
              <w:rPr>
                <w:rFonts w:eastAsia="宋体" w:cs="Times New Roman"/>
                <w:sz w:val="21"/>
                <w:szCs w:val="21"/>
              </w:rPr>
            </w:pPr>
            <w:r>
              <w:rPr>
                <w:rFonts w:eastAsia="宋体" w:cs="Times New Roman"/>
                <w:sz w:val="21"/>
                <w:szCs w:val="21"/>
              </w:rPr>
              <w:t>隐患排查</w:t>
            </w:r>
            <w:r>
              <w:rPr>
                <w:rFonts w:hint="eastAsia" w:eastAsia="宋体" w:cs="Times New Roman"/>
                <w:sz w:val="21"/>
                <w:szCs w:val="21"/>
              </w:rPr>
              <w:t>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69" w:type="dxa"/>
          </w:tcPr>
          <w:p>
            <w:pPr>
              <w:rPr>
                <w:rFonts w:eastAsia="宋体" w:cs="Times New Roman"/>
                <w:sz w:val="21"/>
                <w:szCs w:val="21"/>
              </w:rPr>
            </w:pPr>
            <w:r>
              <w:rPr>
                <w:rFonts w:hint="eastAsia" w:eastAsia="宋体" w:cs="Times New Roman"/>
                <w:sz w:val="21"/>
                <w:szCs w:val="21"/>
              </w:rPr>
              <w:t>1、</w:t>
            </w:r>
            <w:r>
              <w:rPr>
                <w:rFonts w:eastAsia="宋体" w:cs="Times New Roman"/>
                <w:sz w:val="21"/>
                <w:szCs w:val="21"/>
              </w:rPr>
              <w:t>目的</w:t>
            </w:r>
          </w:p>
          <w:p>
            <w:pPr>
              <w:rPr>
                <w:rFonts w:eastAsia="宋体" w:cs="Times New Roman"/>
                <w:sz w:val="21"/>
                <w:szCs w:val="21"/>
              </w:rPr>
            </w:pPr>
            <w:r>
              <w:rPr>
                <w:rFonts w:hint="eastAsia" w:eastAsia="宋体" w:cs="Times New Roman"/>
                <w:sz w:val="21"/>
                <w:szCs w:val="21"/>
              </w:rPr>
              <w:t>2、隐患排查范围</w:t>
            </w:r>
          </w:p>
          <w:p>
            <w:pPr>
              <w:rPr>
                <w:rFonts w:eastAsia="宋体" w:cs="Times New Roman"/>
                <w:sz w:val="21"/>
                <w:szCs w:val="21"/>
              </w:rPr>
            </w:pPr>
            <w:r>
              <w:rPr>
                <w:rFonts w:eastAsia="宋体" w:cs="Times New Roman"/>
                <w:sz w:val="21"/>
                <w:szCs w:val="21"/>
              </w:rPr>
              <w:t>3、</w:t>
            </w:r>
            <w:r>
              <w:rPr>
                <w:rFonts w:hint="eastAsia" w:eastAsia="宋体" w:cs="Times New Roman"/>
                <w:sz w:val="21"/>
                <w:szCs w:val="21"/>
              </w:rPr>
              <w:t>工作目标</w:t>
            </w:r>
          </w:p>
          <w:p>
            <w:pPr>
              <w:rPr>
                <w:rFonts w:eastAsia="宋体" w:cs="Times New Roman"/>
                <w:sz w:val="21"/>
                <w:szCs w:val="21"/>
              </w:rPr>
            </w:pPr>
            <w:r>
              <w:rPr>
                <w:rFonts w:eastAsia="宋体" w:cs="Times New Roman"/>
                <w:sz w:val="21"/>
                <w:szCs w:val="21"/>
              </w:rPr>
              <w:t>4、</w:t>
            </w:r>
            <w:r>
              <w:rPr>
                <w:rFonts w:hint="eastAsia" w:eastAsia="宋体" w:cs="Times New Roman"/>
                <w:sz w:val="21"/>
                <w:szCs w:val="21"/>
              </w:rPr>
              <w:t>隐患排查工作方案</w:t>
            </w:r>
          </w:p>
          <w:p>
            <w:pPr>
              <w:ind w:firstLine="420" w:firstLineChars="200"/>
              <w:rPr>
                <w:rFonts w:eastAsia="宋体" w:cs="Times New Roman"/>
                <w:sz w:val="21"/>
                <w:szCs w:val="21"/>
              </w:rPr>
            </w:pPr>
            <w:r>
              <w:rPr>
                <w:rFonts w:eastAsia="宋体" w:cs="Times New Roman"/>
                <w:sz w:val="21"/>
                <w:szCs w:val="21"/>
              </w:rPr>
              <w:t>4.1</w:t>
            </w:r>
            <w:r>
              <w:rPr>
                <w:rFonts w:hint="eastAsia" w:eastAsia="宋体" w:cs="Times New Roman"/>
                <w:sz w:val="21"/>
                <w:szCs w:val="21"/>
              </w:rPr>
              <w:t>综合性安全检查</w:t>
            </w:r>
          </w:p>
        </w:tc>
        <w:tc>
          <w:tcPr>
            <w:tcW w:w="3170" w:type="dxa"/>
          </w:tcPr>
          <w:p>
            <w:pPr>
              <w:ind w:firstLine="420" w:firstLineChars="200"/>
              <w:rPr>
                <w:rFonts w:eastAsia="宋体" w:cs="Times New Roman"/>
                <w:sz w:val="21"/>
                <w:szCs w:val="21"/>
              </w:rPr>
            </w:pPr>
            <w:r>
              <w:rPr>
                <w:rFonts w:hint="eastAsia" w:eastAsia="宋体" w:cs="Times New Roman"/>
                <w:sz w:val="21"/>
                <w:szCs w:val="21"/>
              </w:rPr>
              <w:t>4</w:t>
            </w:r>
            <w:r>
              <w:rPr>
                <w:rFonts w:eastAsia="宋体" w:cs="Times New Roman"/>
                <w:sz w:val="21"/>
                <w:szCs w:val="21"/>
              </w:rPr>
              <w:t>.2</w:t>
            </w:r>
            <w:r>
              <w:rPr>
                <w:rFonts w:hint="eastAsia" w:eastAsia="宋体" w:cs="Times New Roman"/>
                <w:sz w:val="21"/>
                <w:szCs w:val="21"/>
              </w:rPr>
              <w:t>季节性安全检查</w:t>
            </w:r>
          </w:p>
          <w:p>
            <w:pPr>
              <w:ind w:firstLine="420" w:firstLineChars="200"/>
              <w:rPr>
                <w:rFonts w:eastAsia="宋体" w:cs="Times New Roman"/>
                <w:sz w:val="21"/>
                <w:szCs w:val="21"/>
              </w:rPr>
            </w:pPr>
            <w:r>
              <w:rPr>
                <w:rFonts w:hint="eastAsia" w:eastAsia="宋体" w:cs="Times New Roman"/>
                <w:sz w:val="21"/>
                <w:szCs w:val="21"/>
              </w:rPr>
              <w:t>4</w:t>
            </w:r>
            <w:r>
              <w:rPr>
                <w:rFonts w:eastAsia="宋体" w:cs="Times New Roman"/>
                <w:sz w:val="21"/>
                <w:szCs w:val="21"/>
              </w:rPr>
              <w:t>.3日常检查</w:t>
            </w:r>
          </w:p>
          <w:p>
            <w:pPr>
              <w:ind w:firstLine="420" w:firstLineChars="200"/>
              <w:rPr>
                <w:rFonts w:eastAsia="宋体" w:cs="Times New Roman"/>
                <w:sz w:val="21"/>
                <w:szCs w:val="21"/>
              </w:rPr>
            </w:pPr>
            <w:r>
              <w:rPr>
                <w:rFonts w:hint="eastAsia" w:eastAsia="宋体" w:cs="Times New Roman"/>
                <w:sz w:val="21"/>
                <w:szCs w:val="21"/>
              </w:rPr>
              <w:t>4</w:t>
            </w:r>
            <w:r>
              <w:rPr>
                <w:rFonts w:eastAsia="宋体" w:cs="Times New Roman"/>
                <w:sz w:val="21"/>
                <w:szCs w:val="21"/>
              </w:rPr>
              <w:t>.4专业检查</w:t>
            </w:r>
          </w:p>
          <w:p>
            <w:pPr>
              <w:ind w:firstLine="420" w:firstLineChars="200"/>
              <w:rPr>
                <w:rFonts w:eastAsia="宋体" w:cs="Times New Roman"/>
                <w:sz w:val="21"/>
                <w:szCs w:val="21"/>
              </w:rPr>
            </w:pPr>
            <w:r>
              <w:rPr>
                <w:rFonts w:hint="eastAsia" w:eastAsia="宋体" w:cs="Times New Roman"/>
                <w:sz w:val="21"/>
                <w:szCs w:val="21"/>
              </w:rPr>
              <w:t>4</w:t>
            </w:r>
            <w:r>
              <w:rPr>
                <w:rFonts w:eastAsia="宋体" w:cs="Times New Roman"/>
                <w:sz w:val="21"/>
                <w:szCs w:val="21"/>
              </w:rPr>
              <w:t>.5节前检查</w:t>
            </w:r>
          </w:p>
        </w:tc>
      </w:tr>
    </w:tbl>
    <w:p>
      <w:pPr>
        <w:adjustRightInd w:val="0"/>
        <w:snapToGrid w:val="0"/>
        <w:spacing w:line="360" w:lineRule="auto"/>
        <w:ind w:firstLine="420" w:firstLineChars="200"/>
        <w:contextualSpacing/>
        <w:jc w:val="center"/>
        <w:rPr>
          <w:rFonts w:eastAsia="宋体" w:cs="Times New Roman"/>
          <w:sz w:val="21"/>
          <w:szCs w:val="21"/>
        </w:rPr>
      </w:pPr>
      <w:r>
        <w:rPr>
          <w:rFonts w:eastAsia="宋体" w:cs="Times New Roman"/>
          <w:sz w:val="21"/>
          <w:szCs w:val="21"/>
        </w:rPr>
        <w:t>图8.1-3 隐患排查</w:t>
      </w:r>
      <w:r>
        <w:rPr>
          <w:rFonts w:hint="eastAsia" w:eastAsia="宋体" w:cs="Times New Roman"/>
          <w:sz w:val="21"/>
          <w:szCs w:val="21"/>
        </w:rPr>
        <w:t>方案</w:t>
      </w:r>
      <w:r>
        <w:rPr>
          <w:rFonts w:eastAsia="宋体" w:cs="Times New Roman"/>
          <w:sz w:val="21"/>
          <w:szCs w:val="21"/>
        </w:rPr>
        <w:t>范本</w:t>
      </w:r>
    </w:p>
    <w:p>
      <w:pPr>
        <w:widowControl/>
        <w:ind w:firstLine="480" w:firstLineChars="200"/>
        <w:jc w:val="left"/>
        <w:rPr>
          <w:rFonts w:eastAsia="宋体" w:cs="Times New Roman"/>
          <w:sz w:val="24"/>
        </w:rPr>
      </w:pPr>
      <w:r>
        <w:rPr>
          <w:rFonts w:eastAsia="宋体" w:cs="Times New Roman"/>
          <w:sz w:val="24"/>
        </w:rPr>
        <w:t>2.按照方案进行隐患排查工作。</w:t>
      </w:r>
    </w:p>
    <w:p>
      <w:pPr>
        <w:jc w:val="center"/>
        <w:rPr>
          <w:rFonts w:cs="Times New Roman"/>
          <w:vertAlign w:val="subscript"/>
        </w:rPr>
      </w:pPr>
      <w:r>
        <w:rPr>
          <w:rFonts w:eastAsia="宋体" w:cs="Times New Roman"/>
          <w:sz w:val="24"/>
        </w:rPr>
        <w:br w:type="page"/>
      </w:r>
    </w:p>
    <w:p>
      <w:pPr>
        <w:keepNext/>
        <w:keepLines/>
        <w:spacing w:line="360" w:lineRule="auto"/>
        <w:ind w:firstLine="482" w:firstLineChars="200"/>
        <w:outlineLvl w:val="1"/>
        <w:rPr>
          <w:rFonts w:cs="Times New Roman" w:eastAsiaTheme="majorEastAsia"/>
          <w:b/>
          <w:sz w:val="24"/>
          <w:szCs w:val="32"/>
        </w:rPr>
      </w:pPr>
      <w:r>
        <w:rPr>
          <w:rFonts w:cs="Times New Roman" w:eastAsiaTheme="majorEastAsia"/>
          <w:b/>
          <w:sz w:val="24"/>
          <w:szCs w:val="32"/>
        </w:rPr>
        <w:t>二、排查范围与方法</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（一）企业隐患排查的范围应包括所有与生产经营相关的场所、环境、人员、设备设施和活动；</w:t>
      </w:r>
    </w:p>
    <w:p>
      <w:pPr>
        <w:numPr>
          <w:ilvl w:val="0"/>
          <w:numId w:val="5"/>
        </w:num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企业应定期组织专家或委托第三方技术服务机构开展安全检测和检查，特别是重大风险场所、部位、环节；</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（三）企业应根据安全生产的需要和特点，采用综合检查、专业检查、季节性检查、节假日检查、日常检查等方式进行隐患排查；</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释义</w:t>
      </w:r>
      <w:r>
        <w:rPr>
          <w:rFonts w:eastAsia="宋体" w:cs="Times New Roman"/>
          <w:sz w:val="24"/>
        </w:rPr>
        <w:t>：</w:t>
      </w:r>
    </w:p>
    <w:p>
      <w:pPr>
        <w:jc w:val="center"/>
        <w:rPr>
          <w:rFonts w:eastAsia="宋体" w:cs="Times New Roman"/>
          <w:sz w:val="21"/>
          <w:szCs w:val="21"/>
        </w:rPr>
      </w:pPr>
      <w:r>
        <w:rPr>
          <w:rFonts w:hint="eastAsia" w:eastAsia="宋体" w:cs="Times New Roman"/>
          <w:sz w:val="21"/>
          <w:szCs w:val="21"/>
        </w:rPr>
        <w:t xml:space="preserve"> 表8</w:t>
      </w:r>
      <w:r>
        <w:rPr>
          <w:rFonts w:eastAsia="宋体" w:cs="Times New Roman"/>
          <w:sz w:val="21"/>
          <w:szCs w:val="21"/>
        </w:rPr>
        <w:t>.2-1</w:t>
      </w:r>
      <w:r>
        <w:rPr>
          <w:rFonts w:hint="eastAsia" w:eastAsia="宋体" w:cs="Times New Roman"/>
          <w:sz w:val="21"/>
          <w:szCs w:val="21"/>
        </w:rPr>
        <w:t xml:space="preserve">季节性安全检查表示例 </w:t>
      </w:r>
      <w:r>
        <w:rPr>
          <w:rFonts w:eastAsia="宋体" w:cs="Times New Roman"/>
          <w:sz w:val="21"/>
          <w:szCs w:val="21"/>
        </w:rPr>
        <w:t xml:space="preserve">       </w:t>
      </w:r>
      <w:r>
        <w:rPr>
          <w:rFonts w:hint="eastAsia" w:eastAsia="宋体" w:cs="Times New Roman"/>
          <w:sz w:val="21"/>
          <w:szCs w:val="21"/>
        </w:rPr>
        <w:t>表8</w:t>
      </w:r>
      <w:r>
        <w:rPr>
          <w:rFonts w:eastAsia="宋体" w:cs="Times New Roman"/>
          <w:sz w:val="21"/>
          <w:szCs w:val="21"/>
        </w:rPr>
        <w:t>.2-2</w:t>
      </w:r>
      <w:r>
        <w:rPr>
          <w:rFonts w:hint="eastAsia" w:eastAsia="宋体" w:cs="Times New Roman"/>
          <w:sz w:val="21"/>
          <w:szCs w:val="21"/>
        </w:rPr>
        <w:t>日常检查表示例</w:t>
      </w:r>
    </w:p>
    <w:p>
      <w:pPr>
        <w:jc w:val="center"/>
        <w:rPr>
          <w:rFonts w:eastAsia="宋体" w:cs="Times New Roman"/>
          <w:sz w:val="21"/>
          <w:szCs w:val="21"/>
        </w:rPr>
      </w:pPr>
    </w:p>
    <w:p>
      <w:pPr>
        <w:spacing w:after="120"/>
        <w:rPr>
          <w:rFonts w:eastAsia="宋体" w:cs="Times New Roman"/>
          <w:sz w:val="28"/>
          <w:szCs w:val="20"/>
        </w:rPr>
      </w:pPr>
      <w:r>
        <w:rPr>
          <w:rFonts w:eastAsia="宋体" w:cs="Times New Roman"/>
          <w:sz w:val="28"/>
          <w:szCs w:val="20"/>
        </w:rPr>
        <w:drawing>
          <wp:anchor distT="0" distB="0" distL="114300" distR="114300" simplePos="0" relativeHeight="251676672" behindDoc="0" locked="0" layoutInCell="1" allowOverlap="1">
            <wp:simplePos x="0" y="0"/>
            <wp:positionH relativeFrom="column">
              <wp:posOffset>2232025</wp:posOffset>
            </wp:positionH>
            <wp:positionV relativeFrom="paragraph">
              <wp:posOffset>7620</wp:posOffset>
            </wp:positionV>
            <wp:extent cx="1799590" cy="2638425"/>
            <wp:effectExtent l="0" t="0" r="0" b="0"/>
            <wp:wrapNone/>
            <wp:docPr id="7197" name="图片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图片 719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1799590" cy="2638425"/>
                    </a:xfrm>
                    <a:prstGeom prst="rect">
                      <a:avLst/>
                    </a:prstGeom>
                    <a:noFill/>
                    <a:ln>
                      <a:noFill/>
                    </a:ln>
                  </pic:spPr>
                </pic:pic>
              </a:graphicData>
            </a:graphic>
          </wp:anchor>
        </w:drawing>
      </w:r>
      <w:r>
        <w:rPr>
          <w:rFonts w:eastAsia="宋体" w:cs="Times New Roman"/>
          <w:sz w:val="28"/>
          <w:szCs w:val="20"/>
        </w:rPr>
        <w:drawing>
          <wp:anchor distT="0" distB="0" distL="114300" distR="114300" simplePos="0" relativeHeight="251675648" behindDoc="0" locked="0" layoutInCell="1" allowOverlap="1">
            <wp:simplePos x="0" y="0"/>
            <wp:positionH relativeFrom="column">
              <wp:posOffset>109855</wp:posOffset>
            </wp:positionH>
            <wp:positionV relativeFrom="paragraph">
              <wp:posOffset>5080</wp:posOffset>
            </wp:positionV>
            <wp:extent cx="1800225" cy="2628265"/>
            <wp:effectExtent l="0" t="0" r="0" b="1270"/>
            <wp:wrapNone/>
            <wp:docPr id="7198" name="图片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 name="图片 7198"/>
                    <pic:cNvPicPr>
                      <a:picLocks noChangeAspect="1"/>
                    </pic:cNvPicPr>
                  </pic:nvPicPr>
                  <pic:blipFill>
                    <a:blip r:embed="rId112"/>
                    <a:srcRect l="34346" t="6238" r="35142" b="28743"/>
                    <a:stretch>
                      <a:fillRect/>
                    </a:stretch>
                  </pic:blipFill>
                  <pic:spPr>
                    <a:xfrm>
                      <a:off x="0" y="0"/>
                      <a:ext cx="1800000" cy="2628000"/>
                    </a:xfrm>
                    <a:prstGeom prst="rect">
                      <a:avLst/>
                    </a:prstGeom>
                    <a:ln>
                      <a:noFill/>
                    </a:ln>
                  </pic:spPr>
                </pic:pic>
              </a:graphicData>
            </a:graphic>
          </wp:anchor>
        </w:drawing>
      </w:r>
    </w:p>
    <w:p>
      <w:pPr>
        <w:widowControl/>
        <w:jc w:val="left"/>
      </w:pPr>
      <w:r>
        <w:rPr>
          <w:rFonts w:eastAsia="宋体" w:cs="Times New Roman"/>
          <w:sz w:val="21"/>
          <w:szCs w:val="21"/>
        </w:rPr>
        <w:br w:type="page"/>
      </w:r>
    </w:p>
    <w:p>
      <w:pPr>
        <w:widowControl/>
        <w:jc w:val="center"/>
        <w:rPr>
          <w:rFonts w:eastAsia="宋体" w:cs="Times New Roman"/>
          <w:sz w:val="21"/>
          <w:szCs w:val="21"/>
        </w:rPr>
      </w:pPr>
      <w:r>
        <w:rPr>
          <w:rFonts w:cs="Times New Roman"/>
          <w:bCs/>
          <w:sz w:val="24"/>
          <w:szCs w:val="32"/>
        </w:rPr>
        <w:drawing>
          <wp:anchor distT="0" distB="0" distL="114300" distR="114300" simplePos="0" relativeHeight="251677696" behindDoc="0" locked="0" layoutInCell="1" allowOverlap="1">
            <wp:simplePos x="0" y="0"/>
            <wp:positionH relativeFrom="column">
              <wp:posOffset>-635</wp:posOffset>
            </wp:positionH>
            <wp:positionV relativeFrom="paragraph">
              <wp:posOffset>173990</wp:posOffset>
            </wp:positionV>
            <wp:extent cx="1800225" cy="2228215"/>
            <wp:effectExtent l="0" t="0" r="0" b="635"/>
            <wp:wrapNone/>
            <wp:docPr id="7199" name="图片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图片 719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1800000" cy="2228400"/>
                    </a:xfrm>
                    <a:prstGeom prst="rect">
                      <a:avLst/>
                    </a:prstGeom>
                    <a:noFill/>
                    <a:ln>
                      <a:noFill/>
                    </a:ln>
                  </pic:spPr>
                </pic:pic>
              </a:graphicData>
            </a:graphic>
          </wp:anchor>
        </w:drawing>
      </w:r>
      <w:r>
        <w:rPr>
          <w:rFonts w:hint="eastAsia" w:eastAsia="宋体" w:cs="Times New Roman"/>
          <w:sz w:val="21"/>
          <w:szCs w:val="21"/>
        </w:rPr>
        <w:t>表8</w:t>
      </w:r>
      <w:r>
        <w:rPr>
          <w:rFonts w:eastAsia="宋体" w:cs="Times New Roman"/>
          <w:sz w:val="21"/>
          <w:szCs w:val="21"/>
        </w:rPr>
        <w:t>.2-3</w:t>
      </w:r>
      <w:r>
        <w:rPr>
          <w:rFonts w:hint="eastAsia" w:eastAsia="宋体" w:cs="Times New Roman"/>
          <w:sz w:val="21"/>
          <w:szCs w:val="21"/>
        </w:rPr>
        <w:t>综合安全检查表示例</w:t>
      </w:r>
    </w:p>
    <w:p>
      <w:pPr>
        <w:spacing w:after="120"/>
        <w:rPr>
          <w:rFonts w:eastAsia="宋体" w:cs="Times New Roman"/>
          <w:sz w:val="28"/>
          <w:szCs w:val="20"/>
        </w:rPr>
      </w:pPr>
      <w:r>
        <w:rPr>
          <w:rFonts w:eastAsia="宋体" w:cs="Times New Roman"/>
          <w:bCs/>
          <w:sz w:val="24"/>
          <w:szCs w:val="32"/>
        </w:rPr>
        <w:drawing>
          <wp:anchor distT="0" distB="0" distL="114300" distR="114300" simplePos="0" relativeHeight="251678720" behindDoc="0" locked="0" layoutInCell="1" allowOverlap="1">
            <wp:simplePos x="0" y="0"/>
            <wp:positionH relativeFrom="column">
              <wp:posOffset>2085340</wp:posOffset>
            </wp:positionH>
            <wp:positionV relativeFrom="paragraph">
              <wp:posOffset>8255</wp:posOffset>
            </wp:positionV>
            <wp:extent cx="1798955" cy="495300"/>
            <wp:effectExtent l="0" t="0" r="0" b="0"/>
            <wp:wrapNone/>
            <wp:docPr id="7200" name="图片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 name="图片 720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1833516" cy="505053"/>
                    </a:xfrm>
                    <a:prstGeom prst="rect">
                      <a:avLst/>
                    </a:prstGeom>
                    <a:noFill/>
                    <a:ln>
                      <a:noFill/>
                    </a:ln>
                  </pic:spPr>
                </pic:pic>
              </a:graphicData>
            </a:graphic>
          </wp:anchor>
        </w:drawing>
      </w: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left"/>
        <w:rPr>
          <w:rFonts w:eastAsia="宋体" w:cs="Times New Roman"/>
          <w:sz w:val="21"/>
          <w:szCs w:val="21"/>
        </w:rPr>
      </w:pPr>
    </w:p>
    <w:p>
      <w:pPr>
        <w:widowControl/>
        <w:jc w:val="center"/>
        <w:rPr>
          <w:rFonts w:eastAsia="宋体" w:cs="Times New Roman"/>
          <w:sz w:val="21"/>
          <w:szCs w:val="21"/>
        </w:rPr>
      </w:pPr>
      <w:r>
        <w:rPr>
          <w:rFonts w:hint="eastAsia" w:eastAsia="宋体" w:cs="Times New Roman"/>
          <w:sz w:val="21"/>
          <w:szCs w:val="21"/>
        </w:rPr>
        <w:t>表8</w:t>
      </w:r>
      <w:r>
        <w:rPr>
          <w:rFonts w:eastAsia="宋体" w:cs="Times New Roman"/>
          <w:sz w:val="21"/>
          <w:szCs w:val="21"/>
        </w:rPr>
        <w:t>.2-4</w:t>
      </w:r>
      <w:r>
        <w:rPr>
          <w:rFonts w:hint="eastAsia" w:eastAsia="宋体" w:cs="Times New Roman"/>
          <w:sz w:val="21"/>
          <w:szCs w:val="21"/>
        </w:rPr>
        <w:t>节假日前安全检查表示例</w:t>
      </w:r>
    </w:p>
    <w:p>
      <w:pPr>
        <w:widowControl/>
        <w:jc w:val="left"/>
        <w:rPr>
          <w:rFonts w:eastAsia="宋体" w:cs="Times New Roman"/>
          <w:sz w:val="21"/>
          <w:szCs w:val="21"/>
        </w:rPr>
      </w:pPr>
      <w:r>
        <w:rPr>
          <w:rFonts w:cs="Times New Roman"/>
          <w:bCs/>
          <w:sz w:val="24"/>
          <w:szCs w:val="32"/>
        </w:rPr>
        <w:drawing>
          <wp:anchor distT="0" distB="0" distL="114300" distR="114300" simplePos="0" relativeHeight="251672576" behindDoc="0" locked="0" layoutInCell="1" allowOverlap="1">
            <wp:simplePos x="0" y="0"/>
            <wp:positionH relativeFrom="column">
              <wp:posOffset>2084070</wp:posOffset>
            </wp:positionH>
            <wp:positionV relativeFrom="paragraph">
              <wp:posOffset>7620</wp:posOffset>
            </wp:positionV>
            <wp:extent cx="1799590" cy="2470150"/>
            <wp:effectExtent l="0" t="0" r="0" b="6350"/>
            <wp:wrapNone/>
            <wp:docPr id="7201" name="图片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 name="图片 720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1799590" cy="2470150"/>
                    </a:xfrm>
                    <a:prstGeom prst="rect">
                      <a:avLst/>
                    </a:prstGeom>
                    <a:noFill/>
                    <a:ln>
                      <a:noFill/>
                    </a:ln>
                  </pic:spPr>
                </pic:pic>
              </a:graphicData>
            </a:graphic>
          </wp:anchor>
        </w:drawing>
      </w:r>
      <w:r>
        <w:rPr>
          <w:rFonts w:cs="Times New Roman"/>
          <w:bCs/>
          <w:sz w:val="24"/>
          <w:szCs w:val="32"/>
        </w:rPr>
        <w:drawing>
          <wp:inline distT="0" distB="0" distL="0" distR="0">
            <wp:extent cx="1799590" cy="2749550"/>
            <wp:effectExtent l="0" t="0" r="0" b="0"/>
            <wp:docPr id="7202" name="图片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 name="图片 720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1800000" cy="2749829"/>
                    </a:xfrm>
                    <a:prstGeom prst="rect">
                      <a:avLst/>
                    </a:prstGeom>
                    <a:noFill/>
                    <a:ln>
                      <a:noFill/>
                    </a:ln>
                  </pic:spPr>
                </pic:pic>
              </a:graphicData>
            </a:graphic>
          </wp:inline>
        </w:drawing>
      </w:r>
      <w:r>
        <w:rPr>
          <w:rFonts w:eastAsia="宋体" w:cs="Times New Roman"/>
          <w:sz w:val="21"/>
          <w:szCs w:val="21"/>
        </w:rPr>
        <w:br w:type="page"/>
      </w:r>
    </w:p>
    <w:p>
      <w:pPr>
        <w:jc w:val="center"/>
        <w:rPr>
          <w:rFonts w:eastAsia="宋体" w:cs="Times New Roman"/>
          <w:sz w:val="21"/>
          <w:szCs w:val="21"/>
        </w:rPr>
      </w:pPr>
      <w:r>
        <w:rPr>
          <w:rFonts w:hint="eastAsia" w:eastAsia="宋体" w:cs="Times New Roman"/>
          <w:sz w:val="21"/>
          <w:szCs w:val="21"/>
        </w:rPr>
        <w:t>表8</w:t>
      </w:r>
      <w:r>
        <w:rPr>
          <w:rFonts w:eastAsia="宋体" w:cs="Times New Roman"/>
          <w:sz w:val="21"/>
          <w:szCs w:val="21"/>
        </w:rPr>
        <w:t>.2-5</w:t>
      </w:r>
      <w:r>
        <w:rPr>
          <w:rFonts w:hint="eastAsia" w:eastAsia="宋体" w:cs="Times New Roman"/>
          <w:sz w:val="21"/>
          <w:szCs w:val="21"/>
        </w:rPr>
        <w:t>专业安全检查表示例</w:t>
      </w:r>
    </w:p>
    <w:p>
      <w:pPr>
        <w:spacing w:after="120"/>
        <w:rPr>
          <w:rFonts w:eastAsia="宋体" w:cs="Times New Roman"/>
          <w:sz w:val="28"/>
          <w:szCs w:val="20"/>
        </w:rPr>
      </w:pPr>
      <w:r>
        <w:rPr>
          <w:rFonts w:eastAsia="宋体" w:cs="Times New Roman"/>
          <w:sz w:val="28"/>
          <w:szCs w:val="20"/>
        </w:rPr>
        <w:drawing>
          <wp:anchor distT="0" distB="0" distL="114300" distR="114300" simplePos="0" relativeHeight="251674624" behindDoc="0" locked="0" layoutInCell="1" allowOverlap="1">
            <wp:simplePos x="0" y="0"/>
            <wp:positionH relativeFrom="column">
              <wp:posOffset>2084070</wp:posOffset>
            </wp:positionH>
            <wp:positionV relativeFrom="paragraph">
              <wp:posOffset>9525</wp:posOffset>
            </wp:positionV>
            <wp:extent cx="1799590" cy="2696210"/>
            <wp:effectExtent l="0" t="0" r="0" b="8890"/>
            <wp:wrapNone/>
            <wp:docPr id="7203" name="图片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 name="图片 7203"/>
                    <pic:cNvPicPr>
                      <a:picLocks noChangeAspect="1"/>
                    </pic:cNvPicPr>
                  </pic:nvPicPr>
                  <pic:blipFill>
                    <a:blip r:embed="rId117"/>
                    <a:stretch>
                      <a:fillRect/>
                    </a:stretch>
                  </pic:blipFill>
                  <pic:spPr>
                    <a:xfrm>
                      <a:off x="0" y="0"/>
                      <a:ext cx="1799590" cy="2696210"/>
                    </a:xfrm>
                    <a:prstGeom prst="rect">
                      <a:avLst/>
                    </a:prstGeom>
                  </pic:spPr>
                </pic:pic>
              </a:graphicData>
            </a:graphic>
          </wp:anchor>
        </w:drawing>
      </w:r>
      <w:r>
        <w:rPr>
          <w:rFonts w:eastAsia="宋体" w:cs="Times New Roman"/>
          <w:bCs/>
          <w:sz w:val="24"/>
          <w:szCs w:val="32"/>
        </w:rPr>
        <w:drawing>
          <wp:anchor distT="0" distB="0" distL="114300" distR="114300" simplePos="0" relativeHeight="251665408" behindDoc="0" locked="0" layoutInCell="1" allowOverlap="1">
            <wp:simplePos x="0" y="0"/>
            <wp:positionH relativeFrom="column">
              <wp:posOffset>0</wp:posOffset>
            </wp:positionH>
            <wp:positionV relativeFrom="paragraph">
              <wp:posOffset>27940</wp:posOffset>
            </wp:positionV>
            <wp:extent cx="1799590" cy="2710815"/>
            <wp:effectExtent l="0" t="0" r="0" b="0"/>
            <wp:wrapNone/>
            <wp:docPr id="7213" name="图片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3" name="图片 721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1799590" cy="2710815"/>
                    </a:xfrm>
                    <a:prstGeom prst="rect">
                      <a:avLst/>
                    </a:prstGeom>
                    <a:noFill/>
                    <a:ln>
                      <a:noFill/>
                    </a:ln>
                  </pic:spPr>
                </pic:pic>
              </a:graphicData>
            </a:graphic>
          </wp:anchor>
        </w:drawing>
      </w:r>
    </w:p>
    <w:p>
      <w:pPr>
        <w:spacing w:after="120"/>
        <w:rPr>
          <w:rFonts w:eastAsia="宋体" w:cs="Times New Roman"/>
          <w:sz w:val="28"/>
          <w:szCs w:val="20"/>
        </w:rPr>
      </w:pPr>
    </w:p>
    <w:p>
      <w:pPr>
        <w:spacing w:after="120"/>
        <w:jc w:val="center"/>
        <w:rPr>
          <w:rFonts w:eastAsia="宋体" w:cs="Times New Roman"/>
          <w:sz w:val="28"/>
          <w:szCs w:val="20"/>
        </w:rPr>
      </w:pPr>
    </w:p>
    <w:p>
      <w:pPr>
        <w:spacing w:after="120"/>
        <w:rPr>
          <w:rFonts w:eastAsia="宋体" w:cs="Times New Roman"/>
          <w:sz w:val="28"/>
          <w:szCs w:val="20"/>
        </w:rPr>
      </w:pPr>
    </w:p>
    <w:p>
      <w:pPr>
        <w:spacing w:after="120"/>
        <w:rPr>
          <w:rFonts w:eastAsia="宋体" w:cs="Times New Roman"/>
          <w:sz w:val="28"/>
          <w:szCs w:val="20"/>
        </w:rPr>
      </w:pPr>
    </w:p>
    <w:p>
      <w:pPr>
        <w:rPr>
          <w:rFonts w:cs="Times New Roman"/>
        </w:rPr>
      </w:pPr>
    </w:p>
    <w:p>
      <w:pPr>
        <w:rPr>
          <w:rFonts w:cs="Times New Roman"/>
        </w:rPr>
      </w:pPr>
    </w:p>
    <w:p>
      <w:pPr>
        <w:rPr>
          <w:rFonts w:cs="Times New Roman"/>
        </w:rPr>
      </w:pPr>
    </w:p>
    <w:p>
      <w:pPr>
        <w:rPr>
          <w:rFonts w:cs="Times New Roman"/>
        </w:rPr>
      </w:pPr>
    </w:p>
    <w:p>
      <w:pPr>
        <w:rPr>
          <w:rFonts w:cs="Times New Roman"/>
        </w:rPr>
      </w:pPr>
    </w:p>
    <w:p>
      <w:pPr>
        <w:rPr>
          <w:rFonts w:cs="Times New Roman"/>
        </w:rPr>
      </w:pPr>
    </w:p>
    <w:p>
      <w:pPr>
        <w:rPr>
          <w:rFonts w:cs="Times New Roman"/>
        </w:rPr>
      </w:pPr>
    </w:p>
    <w:p>
      <w:pPr>
        <w:rPr>
          <w:rFonts w:cs="Times New Roman"/>
        </w:rPr>
      </w:pPr>
      <w:r>
        <w:rPr>
          <w:rFonts w:cs="Times New Roman"/>
        </w:rPr>
        <w:drawing>
          <wp:anchor distT="0" distB="0" distL="114300" distR="114300" simplePos="0" relativeHeight="251673600" behindDoc="0" locked="0" layoutInCell="1" allowOverlap="1">
            <wp:simplePos x="0" y="0"/>
            <wp:positionH relativeFrom="column">
              <wp:posOffset>635</wp:posOffset>
            </wp:positionH>
            <wp:positionV relativeFrom="paragraph">
              <wp:posOffset>4445</wp:posOffset>
            </wp:positionV>
            <wp:extent cx="1799590" cy="2094865"/>
            <wp:effectExtent l="0" t="0" r="0" b="635"/>
            <wp:wrapNone/>
            <wp:docPr id="7169" name="图片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图片 7169"/>
                    <pic:cNvPicPr>
                      <a:picLocks noChangeAspect="1"/>
                    </pic:cNvPicPr>
                  </pic:nvPicPr>
                  <pic:blipFill>
                    <a:blip r:embed="rId119"/>
                    <a:stretch>
                      <a:fillRect/>
                    </a:stretch>
                  </pic:blipFill>
                  <pic:spPr>
                    <a:xfrm>
                      <a:off x="0" y="0"/>
                      <a:ext cx="1799590" cy="2094865"/>
                    </a:xfrm>
                    <a:prstGeom prst="rect">
                      <a:avLst/>
                    </a:prstGeom>
                  </pic:spPr>
                </pic:pic>
              </a:graphicData>
            </a:graphic>
          </wp:anchor>
        </w:drawing>
      </w:r>
    </w:p>
    <w:p>
      <w:pPr>
        <w:rPr>
          <w:rFonts w:cs="Times New Roman"/>
        </w:rPr>
      </w:pPr>
    </w:p>
    <w:p>
      <w:pPr>
        <w:rPr>
          <w:rFonts w:cs="Times New Roman"/>
        </w:rPr>
      </w:pPr>
    </w:p>
    <w:p>
      <w:pPr>
        <w:rPr>
          <w:rFonts w:cs="Times New Roman"/>
        </w:rPr>
      </w:pPr>
    </w:p>
    <w:p>
      <w:pPr>
        <w:rPr>
          <w:rFonts w:cs="Times New Roman"/>
        </w:rPr>
      </w:pPr>
    </w:p>
    <w:p>
      <w:pPr>
        <w:rPr>
          <w:rFonts w:cs="Times New Roman"/>
        </w:rPr>
      </w:pPr>
    </w:p>
    <w:p>
      <w:pPr>
        <w:rPr>
          <w:rFonts w:cs="Times New Roman"/>
        </w:rPr>
      </w:pPr>
    </w:p>
    <w:p>
      <w:pPr>
        <w:spacing w:after="120"/>
        <w:rPr>
          <w:rFonts w:eastAsia="宋体" w:cs="Times New Roman"/>
          <w:sz w:val="28"/>
          <w:szCs w:val="20"/>
        </w:rPr>
      </w:pPr>
    </w:p>
    <w:p>
      <w:pPr>
        <w:spacing w:after="120"/>
        <w:jc w:val="center"/>
        <w:rPr>
          <w:rFonts w:eastAsia="宋体" w:cs="Times New Roman"/>
          <w:sz w:val="28"/>
          <w:szCs w:val="20"/>
        </w:rPr>
      </w:pPr>
    </w:p>
    <w:p>
      <w:pPr>
        <w:keepNext/>
        <w:keepLines/>
        <w:spacing w:line="360" w:lineRule="auto"/>
        <w:ind w:firstLine="480" w:firstLineChars="200"/>
        <w:outlineLvl w:val="1"/>
        <w:rPr>
          <w:rFonts w:eastAsia="宋体" w:cs="Times New Roman"/>
          <w:sz w:val="28"/>
          <w:szCs w:val="20"/>
        </w:rPr>
      </w:pPr>
      <w:r>
        <w:rPr>
          <w:rFonts w:eastAsia="宋体" w:cs="Times New Roman"/>
          <w:bCs/>
          <w:sz w:val="24"/>
          <w:szCs w:val="32"/>
        </w:rPr>
        <w:br w:type="page"/>
      </w:r>
      <w:r>
        <w:rPr>
          <w:rFonts w:cs="Times New Roman" w:eastAsiaTheme="majorEastAsia"/>
          <w:b/>
          <w:sz w:val="24"/>
          <w:szCs w:val="32"/>
        </w:rPr>
        <w:t>三、隐患治理</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企业应根据隐患排查的结果，制定隐患治理方案，对隐患及时进行治理。隐患治理方案应包括目标和任务、方法和措施、经费和物资、机构和人员、时限和要求。重大事故隐患在治理前应采取临时控制措施并制定应急预案。隐患治理措施包括：工程技术措施、管理措施、教育措施、防护措施和应急措施；</w:t>
      </w:r>
    </w:p>
    <w:p>
      <w:pPr>
        <w:spacing w:after="120"/>
        <w:ind w:firstLine="480" w:firstLineChars="200"/>
        <w:rPr>
          <w:rFonts w:eastAsia="宋体" w:cs="Times New Roman"/>
          <w:sz w:val="24"/>
        </w:rPr>
      </w:pPr>
      <w:r>
        <w:rPr>
          <w:rFonts w:hint="eastAsia" w:eastAsia="宋体" w:cs="Times New Roman"/>
          <w:sz w:val="24"/>
        </w:rPr>
        <w:t>释义：</w:t>
      </w:r>
    </w:p>
    <w:p>
      <w:pPr>
        <w:jc w:val="center"/>
        <w:rPr>
          <w:rFonts w:eastAsia="宋体" w:cs="Times New Roman"/>
          <w:sz w:val="21"/>
          <w:szCs w:val="21"/>
        </w:rPr>
      </w:pPr>
      <w:bookmarkStart w:id="38" w:name="_Hlk93611693"/>
      <w:r>
        <w:rPr>
          <w:rFonts w:hint="eastAsia" w:eastAsia="宋体" w:cs="Times New Roman"/>
          <w:sz w:val="21"/>
          <w:szCs w:val="21"/>
        </w:rPr>
        <w:t>表8</w:t>
      </w:r>
      <w:r>
        <w:rPr>
          <w:rFonts w:eastAsia="宋体" w:cs="Times New Roman"/>
          <w:sz w:val="21"/>
          <w:szCs w:val="21"/>
        </w:rPr>
        <w:t>.3-1</w:t>
      </w:r>
      <w:r>
        <w:rPr>
          <w:rFonts w:hint="eastAsia" w:eastAsia="宋体" w:cs="Times New Roman"/>
          <w:sz w:val="21"/>
          <w:szCs w:val="21"/>
        </w:rPr>
        <w:t>一般隐患治理方案示例</w:t>
      </w:r>
    </w:p>
    <w:bookmarkEnd w:id="38"/>
    <w:p>
      <w:pPr>
        <w:spacing w:after="120"/>
        <w:ind w:firstLine="560" w:firstLineChars="200"/>
        <w:rPr>
          <w:rFonts w:eastAsia="宋体" w:cs="Times New Roman"/>
          <w:sz w:val="24"/>
        </w:rPr>
      </w:pPr>
      <w:r>
        <w:rPr>
          <w:rFonts w:eastAsia="宋体" w:cs="Times New Roman"/>
          <w:sz w:val="28"/>
          <w:szCs w:val="20"/>
        </w:rPr>
        <w:drawing>
          <wp:anchor distT="0" distB="0" distL="114300" distR="114300" simplePos="0" relativeHeight="251679744" behindDoc="0" locked="0" layoutInCell="1" allowOverlap="1">
            <wp:simplePos x="0" y="0"/>
            <wp:positionH relativeFrom="column">
              <wp:posOffset>501015</wp:posOffset>
            </wp:positionH>
            <wp:positionV relativeFrom="paragraph">
              <wp:posOffset>9525</wp:posOffset>
            </wp:positionV>
            <wp:extent cx="2695575" cy="3173095"/>
            <wp:effectExtent l="0" t="0" r="0" b="8255"/>
            <wp:wrapNone/>
            <wp:docPr id="7214" name="图片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 name="图片 721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699371" cy="3177703"/>
                    </a:xfrm>
                    <a:prstGeom prst="rect">
                      <a:avLst/>
                    </a:prstGeom>
                    <a:noFill/>
                    <a:ln>
                      <a:noFill/>
                    </a:ln>
                  </pic:spPr>
                </pic:pic>
              </a:graphicData>
            </a:graphic>
          </wp:anchor>
        </w:drawing>
      </w:r>
    </w:p>
    <w:p>
      <w:pPr>
        <w:spacing w:after="120"/>
        <w:ind w:firstLine="480" w:firstLineChars="200"/>
        <w:rPr>
          <w:rFonts w:eastAsia="宋体" w:cs="Times New Roman"/>
          <w:sz w:val="24"/>
        </w:rPr>
      </w:pPr>
    </w:p>
    <w:p>
      <w:pPr>
        <w:spacing w:after="120"/>
        <w:ind w:firstLine="480" w:firstLineChars="200"/>
        <w:rPr>
          <w:rFonts w:eastAsia="宋体" w:cs="Times New Roman"/>
          <w:sz w:val="24"/>
        </w:rPr>
      </w:pPr>
    </w:p>
    <w:p>
      <w:pPr>
        <w:widowControl/>
        <w:jc w:val="left"/>
        <w:rPr>
          <w:rFonts w:eastAsia="宋体" w:cs="Times New Roman"/>
          <w:sz w:val="24"/>
        </w:rPr>
      </w:pPr>
      <w:r>
        <w:rPr>
          <w:sz w:val="24"/>
        </w:rPr>
        <w:br w:type="page"/>
      </w:r>
    </w:p>
    <w:p>
      <w:pPr>
        <w:numPr>
          <w:ilvl w:val="0"/>
          <w:numId w:val="6"/>
        </w:num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治理完成后，应对治理情况进行验证和效果评估；</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1.在重大事故隐患治理完成后对治理情况进行验证和效果评估。</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释义</w:t>
      </w:r>
      <w:r>
        <w:rPr>
          <w:rFonts w:eastAsia="宋体" w:cs="Times New Roman"/>
          <w:sz w:val="24"/>
        </w:rPr>
        <w:t>：</w:t>
      </w:r>
    </w:p>
    <w:p>
      <w:pPr>
        <w:jc w:val="center"/>
        <w:rPr>
          <w:rFonts w:eastAsia="宋体" w:cs="Times New Roman"/>
          <w:sz w:val="21"/>
          <w:szCs w:val="21"/>
        </w:rPr>
      </w:pPr>
      <w:r>
        <w:rPr>
          <w:rFonts w:cs="Times New Roman"/>
        </w:rPr>
        <w:drawing>
          <wp:anchor distT="0" distB="0" distL="114300" distR="114300" simplePos="0" relativeHeight="251669504" behindDoc="0" locked="0" layoutInCell="1" allowOverlap="1">
            <wp:simplePos x="0" y="0"/>
            <wp:positionH relativeFrom="column">
              <wp:posOffset>1898015</wp:posOffset>
            </wp:positionH>
            <wp:positionV relativeFrom="paragraph">
              <wp:posOffset>179070</wp:posOffset>
            </wp:positionV>
            <wp:extent cx="1989455" cy="2247900"/>
            <wp:effectExtent l="0" t="0" r="0" b="0"/>
            <wp:wrapNone/>
            <wp:docPr id="7178" name="图片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图片 7178"/>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1989455" cy="2247900"/>
                    </a:xfrm>
                    <a:prstGeom prst="rect">
                      <a:avLst/>
                    </a:prstGeom>
                  </pic:spPr>
                </pic:pic>
              </a:graphicData>
            </a:graphic>
          </wp:anchor>
        </w:drawing>
      </w:r>
      <w:r>
        <w:rPr>
          <w:rFonts w:hint="eastAsia" w:eastAsia="宋体" w:cs="Times New Roman"/>
          <w:sz w:val="21"/>
          <w:szCs w:val="21"/>
        </w:rPr>
        <w:t>表8</w:t>
      </w:r>
      <w:r>
        <w:rPr>
          <w:rFonts w:eastAsia="宋体" w:cs="Times New Roman"/>
          <w:sz w:val="21"/>
          <w:szCs w:val="21"/>
        </w:rPr>
        <w:t>.3-1</w:t>
      </w:r>
      <w:r>
        <w:rPr>
          <w:rFonts w:hint="eastAsia" w:eastAsia="宋体" w:cs="Times New Roman"/>
          <w:sz w:val="21"/>
          <w:szCs w:val="21"/>
        </w:rPr>
        <w:t>重大隐患治理方案示例</w:t>
      </w:r>
    </w:p>
    <w:p>
      <w:pPr>
        <w:spacing w:after="120"/>
        <w:rPr>
          <w:rFonts w:eastAsia="宋体" w:cs="Times New Roman"/>
          <w:sz w:val="28"/>
          <w:szCs w:val="20"/>
        </w:rPr>
      </w:pPr>
      <w:r>
        <w:rPr>
          <w:rFonts w:eastAsia="宋体" w:cs="Times New Roman"/>
          <w:sz w:val="28"/>
          <w:szCs w:val="20"/>
        </w:rPr>
        <w:drawing>
          <wp:anchor distT="0" distB="0" distL="114300" distR="114300" simplePos="0" relativeHeight="251667456" behindDoc="0" locked="0" layoutInCell="1" allowOverlap="1">
            <wp:simplePos x="0" y="0"/>
            <wp:positionH relativeFrom="column">
              <wp:posOffset>-1270</wp:posOffset>
            </wp:positionH>
            <wp:positionV relativeFrom="paragraph">
              <wp:posOffset>8890</wp:posOffset>
            </wp:positionV>
            <wp:extent cx="1799590" cy="2282190"/>
            <wp:effectExtent l="0" t="0" r="0" b="3810"/>
            <wp:wrapSquare wrapText="bothSides"/>
            <wp:docPr id="7177" name="图片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图片 7177"/>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1799590" cy="2282190"/>
                    </a:xfrm>
                    <a:prstGeom prst="rect">
                      <a:avLst/>
                    </a:prstGeom>
                  </pic:spPr>
                </pic:pic>
              </a:graphicData>
            </a:graphic>
          </wp:anchor>
        </w:drawing>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contextualSpacing/>
        <w:jc w:val="left"/>
        <w:rPr>
          <w:rFonts w:eastAsia="宋体" w:cs="Times New Roman"/>
          <w:sz w:val="24"/>
        </w:rPr>
      </w:pPr>
    </w:p>
    <w:p>
      <w:pPr>
        <w:adjustRightInd w:val="0"/>
        <w:snapToGrid w:val="0"/>
        <w:spacing w:line="360" w:lineRule="auto"/>
        <w:contextualSpacing/>
        <w:jc w:val="center"/>
        <w:rPr>
          <w:rFonts w:eastAsia="宋体" w:cs="Times New Roman"/>
          <w:sz w:val="21"/>
          <w:szCs w:val="21"/>
        </w:rPr>
      </w:pPr>
      <w:r>
        <w:rPr>
          <w:rFonts w:cs="Times New Roman"/>
        </w:rPr>
        <w:drawing>
          <wp:anchor distT="0" distB="0" distL="114300" distR="114300" simplePos="0" relativeHeight="251680768" behindDoc="0" locked="0" layoutInCell="1" allowOverlap="1">
            <wp:simplePos x="0" y="0"/>
            <wp:positionH relativeFrom="column">
              <wp:posOffset>1886585</wp:posOffset>
            </wp:positionH>
            <wp:positionV relativeFrom="page">
              <wp:posOffset>4817110</wp:posOffset>
            </wp:positionV>
            <wp:extent cx="1844675" cy="1896745"/>
            <wp:effectExtent l="0" t="0" r="3175" b="8255"/>
            <wp:wrapNone/>
            <wp:docPr id="7181" name="图片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 name="图片 7181"/>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46566" cy="1898712"/>
                    </a:xfrm>
                    <a:prstGeom prst="rect">
                      <a:avLst/>
                    </a:prstGeom>
                  </pic:spPr>
                </pic:pic>
              </a:graphicData>
            </a:graphic>
          </wp:anchor>
        </w:drawing>
      </w:r>
      <w:r>
        <w:rPr>
          <w:rFonts w:cs="Times New Roman"/>
        </w:rPr>
        <w:drawing>
          <wp:anchor distT="0" distB="0" distL="114300" distR="114300" simplePos="0" relativeHeight="251671552" behindDoc="0" locked="0" layoutInCell="1" allowOverlap="1">
            <wp:simplePos x="0" y="0"/>
            <wp:positionH relativeFrom="column">
              <wp:posOffset>-3175</wp:posOffset>
            </wp:positionH>
            <wp:positionV relativeFrom="paragraph">
              <wp:posOffset>167640</wp:posOffset>
            </wp:positionV>
            <wp:extent cx="1747520" cy="1972310"/>
            <wp:effectExtent l="0" t="0" r="5715" b="9525"/>
            <wp:wrapNone/>
            <wp:docPr id="7180" name="图片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图片 7180"/>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747587" cy="1972527"/>
                    </a:xfrm>
                    <a:prstGeom prst="rect">
                      <a:avLst/>
                    </a:prstGeom>
                  </pic:spPr>
                </pic:pic>
              </a:graphicData>
            </a:graphic>
          </wp:anchor>
        </w:drawing>
      </w:r>
      <w:r>
        <w:rPr>
          <w:rFonts w:hint="eastAsia" w:eastAsia="宋体" w:cs="Times New Roman"/>
          <w:sz w:val="21"/>
          <w:szCs w:val="21"/>
        </w:rPr>
        <w:t>表8</w:t>
      </w:r>
      <w:r>
        <w:rPr>
          <w:rFonts w:eastAsia="宋体" w:cs="Times New Roman"/>
          <w:sz w:val="21"/>
          <w:szCs w:val="21"/>
        </w:rPr>
        <w:t>.3-2</w:t>
      </w:r>
      <w:r>
        <w:rPr>
          <w:rFonts w:hint="eastAsia" w:eastAsia="宋体" w:cs="Times New Roman"/>
          <w:sz w:val="21"/>
          <w:szCs w:val="21"/>
        </w:rPr>
        <w:t>重大隐患治理评估报告示例</w:t>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2.按规定对隐患排查和治理情况进行统计分析并向安全监管部门和有关部门线上报送隐患统计与治理情况。</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释义</w:t>
      </w:r>
      <w:r>
        <w:rPr>
          <w:rFonts w:eastAsia="宋体" w:cs="Times New Roman"/>
          <w:sz w:val="24"/>
        </w:rPr>
        <w:t>：</w:t>
      </w:r>
    </w:p>
    <w:p>
      <w:pPr>
        <w:pStyle w:val="2"/>
        <w:jc w:val="center"/>
      </w:pPr>
      <w:r>
        <w:drawing>
          <wp:inline distT="0" distB="0" distL="0" distR="0">
            <wp:extent cx="2025650" cy="2285365"/>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25" cstate="print">
                      <a:extLst>
                        <a:ext uri="{28A0092B-C50C-407E-A947-70E740481C1C}">
                          <a14:useLocalDpi xmlns:a14="http://schemas.microsoft.com/office/drawing/2010/main" val="0"/>
                        </a:ext>
                      </a:extLst>
                    </a:blip>
                    <a:srcRect l="5118" t="8355" r="5905" b="2857"/>
                    <a:stretch>
                      <a:fillRect/>
                    </a:stretch>
                  </pic:blipFill>
                  <pic:spPr>
                    <a:xfrm>
                      <a:off x="0" y="0"/>
                      <a:ext cx="2037540" cy="2299360"/>
                    </a:xfrm>
                    <a:prstGeom prst="rect">
                      <a:avLst/>
                    </a:prstGeom>
                    <a:noFill/>
                    <a:ln>
                      <a:noFill/>
                    </a:ln>
                  </pic:spPr>
                </pic:pic>
              </a:graphicData>
            </a:graphic>
          </wp:inline>
        </w:drawing>
      </w:r>
    </w:p>
    <w:p>
      <w:pPr>
        <w:adjustRightInd w:val="0"/>
        <w:snapToGrid w:val="0"/>
        <w:spacing w:line="360" w:lineRule="auto"/>
        <w:contextualSpacing/>
        <w:jc w:val="center"/>
        <w:rPr>
          <w:rFonts w:eastAsia="宋体" w:cs="Times New Roman"/>
          <w:sz w:val="21"/>
          <w:szCs w:val="21"/>
        </w:rPr>
      </w:pPr>
      <w:r>
        <w:rPr>
          <w:rFonts w:eastAsia="宋体" w:cs="Times New Roman"/>
          <w:sz w:val="21"/>
          <w:szCs w:val="21"/>
        </w:rPr>
        <w:t>图8.3-3</w:t>
      </w:r>
      <w:r>
        <w:rPr>
          <w:rFonts w:hint="eastAsia" w:eastAsia="宋体" w:cs="Times New Roman"/>
          <w:sz w:val="21"/>
          <w:szCs w:val="21"/>
        </w:rPr>
        <w:t>重大</w:t>
      </w:r>
      <w:r>
        <w:rPr>
          <w:rFonts w:eastAsia="宋体" w:cs="Times New Roman"/>
          <w:sz w:val="21"/>
          <w:szCs w:val="21"/>
        </w:rPr>
        <w:t>隐患排查和治理情况</w:t>
      </w:r>
      <w:r>
        <w:rPr>
          <w:rFonts w:hint="eastAsia" w:eastAsia="宋体" w:cs="Times New Roman"/>
          <w:sz w:val="21"/>
          <w:szCs w:val="21"/>
        </w:rPr>
        <w:t>报告表示例</w:t>
      </w:r>
    </w:p>
    <w:p>
      <w:pPr>
        <w:keepNext/>
        <w:keepLines/>
        <w:spacing w:line="360" w:lineRule="auto"/>
        <w:ind w:firstLine="482" w:firstLineChars="200"/>
        <w:outlineLvl w:val="1"/>
        <w:rPr>
          <w:rFonts w:cs="Times New Roman" w:eastAsiaTheme="majorEastAsia"/>
          <w:b/>
          <w:sz w:val="24"/>
          <w:szCs w:val="32"/>
        </w:rPr>
      </w:pPr>
      <w:r>
        <w:rPr>
          <w:rFonts w:cs="Times New Roman" w:eastAsiaTheme="majorEastAsia"/>
          <w:b/>
          <w:sz w:val="24"/>
          <w:szCs w:val="32"/>
        </w:rPr>
        <w:t>四、预测预警</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企业根据生产经营状况及隐患排查治理情况，运用定量的安全生产预测预警技术，建立体现企业安全生产状况及发展趋势的预警指数系统；</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企业根据生产经营状况及隐患排查治理情况，采用技术手段、仪器仪表及管理方法等，建立安全预警指数系统，每月进行一次安全生产风险分析。</w:t>
      </w:r>
    </w:p>
    <w:p>
      <w:pPr>
        <w:keepNext/>
        <w:keepLines/>
        <w:spacing w:line="360" w:lineRule="auto"/>
        <w:ind w:firstLine="482" w:firstLineChars="200"/>
        <w:outlineLvl w:val="1"/>
        <w:rPr>
          <w:rFonts w:cs="Times New Roman" w:eastAsiaTheme="majorEastAsia"/>
          <w:b/>
          <w:sz w:val="24"/>
          <w:szCs w:val="32"/>
        </w:rPr>
      </w:pPr>
      <w:r>
        <w:rPr>
          <w:rFonts w:cs="Times New Roman" w:eastAsiaTheme="majorEastAsia"/>
          <w:b/>
          <w:sz w:val="24"/>
          <w:szCs w:val="32"/>
        </w:rPr>
        <w:t>五、</w:t>
      </w:r>
      <w:r>
        <w:rPr>
          <w:rFonts w:eastAsiaTheme="minorEastAsia"/>
          <w:b/>
          <w:sz w:val="24"/>
        </w:rPr>
        <w:t>“常安码”</w:t>
      </w:r>
      <w:r>
        <w:rPr>
          <w:rFonts w:cs="Times New Roman" w:eastAsiaTheme="majorEastAsia"/>
          <w:b/>
          <w:sz w:val="24"/>
          <w:szCs w:val="32"/>
        </w:rPr>
        <w:t>运用</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w:t>
      </w:r>
      <w:r>
        <w:rPr>
          <w:rFonts w:hint="eastAsia" w:eastAsia="宋体" w:cs="Times New Roman"/>
          <w:sz w:val="24"/>
        </w:rPr>
        <w:t>通过“常安码”扫码检查落实隐患排查工作；</w:t>
      </w:r>
    </w:p>
    <w:p>
      <w:pPr>
        <w:pStyle w:val="2"/>
        <w:ind w:firstLine="480" w:firstLineChars="200"/>
        <w:rPr>
          <w:sz w:val="24"/>
          <w:szCs w:val="24"/>
        </w:rPr>
      </w:pPr>
      <w:r>
        <w:rPr>
          <w:rFonts w:hint="eastAsia"/>
          <w:sz w:val="24"/>
          <w:szCs w:val="24"/>
        </w:rPr>
        <w:t>释义：</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w:t>
      </w:r>
      <w:r>
        <w:rPr>
          <w:rFonts w:hint="eastAsia" w:eastAsia="宋体" w:cs="Times New Roman"/>
          <w:sz w:val="24"/>
        </w:rPr>
        <w:t>、</w:t>
      </w:r>
      <w:r>
        <w:rPr>
          <w:rFonts w:eastAsia="宋体" w:cs="Times New Roman"/>
          <w:sz w:val="24"/>
        </w:rPr>
        <w:t>“常安码”扫码周期不得小于规定的频率要求</w:t>
      </w:r>
      <w:r>
        <w:rPr>
          <w:rFonts w:hint="eastAsia" w:eastAsia="宋体" w:cs="Times New Roman"/>
          <w:sz w:val="24"/>
        </w:rPr>
        <w:t>（详见下图）</w:t>
      </w:r>
      <w:r>
        <w:rPr>
          <w:rFonts w:eastAsia="宋体" w:cs="Times New Roman"/>
          <w:sz w:val="24"/>
        </w:rPr>
        <w:t>，同时主要负责人每季度至少组织一次安全生产全面检查， 安全生产管理机构和安全生产管理人员每月至少组织一次安全生产全面检查；</w:t>
      </w:r>
    </w:p>
    <w:p>
      <w:pPr>
        <w:adjustRightInd w:val="0"/>
        <w:snapToGrid w:val="0"/>
        <w:spacing w:line="360" w:lineRule="auto"/>
        <w:contextualSpacing/>
        <w:jc w:val="center"/>
        <w:rPr>
          <w:rFonts w:eastAsia="宋体" w:cs="Times New Roman"/>
          <w:sz w:val="24"/>
        </w:rPr>
      </w:pPr>
      <w:r>
        <w:rPr>
          <w:rFonts w:eastAsia="宋体" w:cs="Times New Roman"/>
          <w:sz w:val="24"/>
        </w:rPr>
        <w:drawing>
          <wp:inline distT="0" distB="0" distL="0" distR="0">
            <wp:extent cx="3287395" cy="790575"/>
            <wp:effectExtent l="0" t="0" r="8255" b="9525"/>
            <wp:docPr id="7175" name="图片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图片 7175"/>
                    <pic:cNvPicPr>
                      <a:picLocks noChangeAspect="1"/>
                    </pic:cNvPicPr>
                  </pic:nvPicPr>
                  <pic:blipFill>
                    <a:blip r:embed="rId126"/>
                    <a:stretch>
                      <a:fillRect/>
                    </a:stretch>
                  </pic:blipFill>
                  <pic:spPr>
                    <a:xfrm>
                      <a:off x="0" y="0"/>
                      <a:ext cx="3330227" cy="801083"/>
                    </a:xfrm>
                    <a:prstGeom prst="rect">
                      <a:avLst/>
                    </a:prstGeom>
                  </pic:spPr>
                </pic:pic>
              </a:graphicData>
            </a:graphic>
          </wp:inline>
        </w:drawing>
      </w:r>
    </w:p>
    <w:p>
      <w:pPr>
        <w:adjustRightInd w:val="0"/>
        <w:snapToGrid w:val="0"/>
        <w:spacing w:line="360" w:lineRule="auto"/>
        <w:contextualSpacing/>
        <w:jc w:val="center"/>
        <w:rPr>
          <w:rFonts w:eastAsia="宋体" w:cs="Times New Roman"/>
          <w:sz w:val="21"/>
          <w:szCs w:val="21"/>
        </w:rPr>
      </w:pPr>
      <w:r>
        <w:rPr>
          <w:rFonts w:hint="eastAsia" w:eastAsia="宋体" w:cs="Times New Roman"/>
          <w:sz w:val="21"/>
          <w:szCs w:val="21"/>
        </w:rPr>
        <w:t>图9.4-</w:t>
      </w:r>
      <w:r>
        <w:rPr>
          <w:rFonts w:eastAsia="宋体" w:cs="Times New Roman"/>
          <w:sz w:val="21"/>
          <w:szCs w:val="21"/>
        </w:rPr>
        <w:t>1扫码频率示例</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2、</w:t>
      </w:r>
      <w:r>
        <w:rPr>
          <w:rFonts w:eastAsia="宋体" w:cs="Times New Roman"/>
          <w:sz w:val="24"/>
        </w:rPr>
        <w:t>“常安码”扫码实行闭环管理和持续改进，所有隐患必须实施闭环管理，通过检查新发现的风险要及时更新，持续改进。</w:t>
      </w:r>
    </w:p>
    <w:p>
      <w:pPr>
        <w:adjustRightInd w:val="0"/>
        <w:snapToGrid w:val="0"/>
        <w:spacing w:line="360" w:lineRule="auto"/>
        <w:contextualSpacing/>
        <w:jc w:val="center"/>
        <w:rPr>
          <w:rFonts w:eastAsia="宋体" w:cs="Times New Roman"/>
          <w:sz w:val="24"/>
          <w:lang w:val="zh-CN"/>
        </w:rPr>
      </w:pPr>
      <w:r>
        <w:rPr>
          <w:rFonts w:eastAsia="宋体" w:cs="Times New Roman"/>
          <w:sz w:val="24"/>
        </w:rPr>
        <w:drawing>
          <wp:inline distT="0" distB="0" distL="0" distR="0">
            <wp:extent cx="3084830" cy="1480185"/>
            <wp:effectExtent l="0" t="0" r="1270" b="5715"/>
            <wp:docPr id="7176" name="图片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图片 7176"/>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090611" cy="1483227"/>
                    </a:xfrm>
                    <a:prstGeom prst="rect">
                      <a:avLst/>
                    </a:prstGeom>
                  </pic:spPr>
                </pic:pic>
              </a:graphicData>
            </a:graphic>
          </wp:inline>
        </w:drawing>
      </w:r>
    </w:p>
    <w:p>
      <w:pPr>
        <w:adjustRightInd w:val="0"/>
        <w:snapToGrid w:val="0"/>
        <w:spacing w:line="360" w:lineRule="auto"/>
        <w:contextualSpacing/>
        <w:jc w:val="center"/>
        <w:rPr>
          <w:rFonts w:eastAsia="宋体" w:cs="Times New Roman"/>
          <w:sz w:val="21"/>
          <w:szCs w:val="21"/>
        </w:rPr>
      </w:pPr>
      <w:bookmarkStart w:id="39" w:name="_Hlk93612089"/>
      <w:r>
        <w:rPr>
          <w:rFonts w:eastAsia="宋体" w:cs="Times New Roman"/>
          <w:sz w:val="21"/>
          <w:szCs w:val="21"/>
          <w:lang w:val="zh-CN"/>
        </w:rPr>
        <w:t>图9.4-</w:t>
      </w:r>
      <w:bookmarkEnd w:id="39"/>
      <w:r>
        <w:rPr>
          <w:rFonts w:eastAsia="宋体" w:cs="Times New Roman"/>
          <w:sz w:val="21"/>
          <w:szCs w:val="21"/>
          <w:lang w:val="zh-CN"/>
        </w:rPr>
        <w:t>2</w:t>
      </w:r>
      <w:r>
        <w:rPr>
          <w:rFonts w:eastAsia="宋体" w:cs="Times New Roman"/>
          <w:sz w:val="21"/>
          <w:szCs w:val="21"/>
        </w:rPr>
        <w:t>“常安码”扫码闭环管理和持续改进流程流程图</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（二）</w:t>
      </w:r>
      <w:r>
        <w:rPr>
          <w:rFonts w:hint="eastAsia" w:eastAsia="宋体" w:cs="Times New Roman"/>
          <w:sz w:val="24"/>
        </w:rPr>
        <w:t>运用“</w:t>
      </w:r>
      <w:r>
        <w:rPr>
          <w:rFonts w:eastAsia="宋体" w:cs="Times New Roman"/>
          <w:sz w:val="24"/>
        </w:rPr>
        <w:t>常安码</w:t>
      </w:r>
      <w:r>
        <w:rPr>
          <w:rFonts w:hint="eastAsia" w:eastAsia="宋体" w:cs="Times New Roman"/>
          <w:sz w:val="24"/>
        </w:rPr>
        <w:t>”</w:t>
      </w:r>
      <w:r>
        <w:rPr>
          <w:rFonts w:eastAsia="宋体" w:cs="Times New Roman"/>
          <w:sz w:val="24"/>
        </w:rPr>
        <w:t>实现隐患排查治理</w:t>
      </w:r>
      <w:r>
        <w:rPr>
          <w:rFonts w:hint="eastAsia" w:eastAsia="宋体" w:cs="Times New Roman"/>
          <w:sz w:val="24"/>
        </w:rPr>
        <w:t>（具体操作步骤详见下文）</w:t>
      </w:r>
      <w:r>
        <w:rPr>
          <w:rFonts w:eastAsia="宋体" w:cs="Times New Roman"/>
          <w:sz w:val="24"/>
        </w:rPr>
        <w:t>；</w:t>
      </w: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释义：</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w:t>
      </w:r>
      <w:r>
        <w:rPr>
          <w:rFonts w:hint="eastAsia" w:eastAsia="宋体" w:cs="Times New Roman"/>
          <w:sz w:val="24"/>
        </w:rPr>
        <w:t>、登录常州市应急管理局官网，在政务服务窗口进入企业安全生产申报信息系统</w:t>
      </w:r>
    </w:p>
    <w:p>
      <w:pPr>
        <w:jc w:val="center"/>
        <w:rPr>
          <w:sz w:val="28"/>
          <w:szCs w:val="28"/>
        </w:rPr>
      </w:pPr>
      <w:r>
        <w:drawing>
          <wp:inline distT="0" distB="0" distL="0" distR="0">
            <wp:extent cx="2886075" cy="14097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28"/>
                    <a:stretch>
                      <a:fillRect/>
                    </a:stretch>
                  </pic:blipFill>
                  <pic:spPr>
                    <a:xfrm>
                      <a:off x="0" y="0"/>
                      <a:ext cx="2949598" cy="1440854"/>
                    </a:xfrm>
                    <a:prstGeom prst="rect">
                      <a:avLst/>
                    </a:prstGeom>
                  </pic:spPr>
                </pic:pic>
              </a:graphicData>
            </a:graphic>
          </wp:inline>
        </w:drawing>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w:t>
      </w:r>
      <w:r>
        <w:rPr>
          <w:rFonts w:hint="eastAsia" w:eastAsia="宋体" w:cs="Times New Roman"/>
          <w:sz w:val="24"/>
        </w:rPr>
        <w:t>、输入企业账号密码，进入系统</w:t>
      </w:r>
    </w:p>
    <w:p>
      <w:pPr>
        <w:jc w:val="center"/>
        <w:rPr>
          <w:sz w:val="28"/>
          <w:szCs w:val="28"/>
        </w:rPr>
      </w:pPr>
      <w:r>
        <w:drawing>
          <wp:inline distT="0" distB="0" distL="0" distR="0">
            <wp:extent cx="2997200" cy="1955165"/>
            <wp:effectExtent l="0" t="0" r="0" b="6985"/>
            <wp:docPr id="7170" name="图片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图片 7170"/>
                    <pic:cNvPicPr>
                      <a:picLocks noChangeAspect="1"/>
                    </pic:cNvPicPr>
                  </pic:nvPicPr>
                  <pic:blipFill>
                    <a:blip r:embed="rId129"/>
                    <a:stretch>
                      <a:fillRect/>
                    </a:stretch>
                  </pic:blipFill>
                  <pic:spPr>
                    <a:xfrm>
                      <a:off x="0" y="0"/>
                      <a:ext cx="3013461" cy="1965630"/>
                    </a:xfrm>
                    <a:prstGeom prst="rect">
                      <a:avLst/>
                    </a:prstGeom>
                  </pic:spPr>
                </pic:pic>
              </a:graphicData>
            </a:graphic>
          </wp:inline>
        </w:drawing>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3、进入系统后在右侧应用导航点击“企业组织机构管理</w:t>
      </w:r>
      <w:r>
        <w:rPr>
          <w:rFonts w:eastAsia="宋体" w:cs="Times New Roman"/>
          <w:sz w:val="24"/>
        </w:rPr>
        <w:t>”</w:t>
      </w:r>
    </w:p>
    <w:p>
      <w:pPr>
        <w:jc w:val="center"/>
        <w:rPr>
          <w:sz w:val="28"/>
          <w:szCs w:val="28"/>
        </w:rPr>
      </w:pPr>
      <w:r>
        <w:drawing>
          <wp:inline distT="0" distB="0" distL="0" distR="0">
            <wp:extent cx="2719070" cy="1719580"/>
            <wp:effectExtent l="0" t="0" r="5080" b="0"/>
            <wp:docPr id="7226" name="图片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 name="图片 7226"/>
                    <pic:cNvPicPr>
                      <a:picLocks noChangeAspect="1"/>
                    </pic:cNvPicPr>
                  </pic:nvPicPr>
                  <pic:blipFill>
                    <a:blip r:embed="rId130"/>
                    <a:stretch>
                      <a:fillRect/>
                    </a:stretch>
                  </pic:blipFill>
                  <pic:spPr>
                    <a:xfrm>
                      <a:off x="0" y="0"/>
                      <a:ext cx="2746590" cy="1737265"/>
                    </a:xfrm>
                    <a:prstGeom prst="rect">
                      <a:avLst/>
                    </a:prstGeom>
                  </pic:spPr>
                </pic:pic>
              </a:graphicData>
            </a:graphic>
          </wp:inline>
        </w:drawing>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sz w:val="28"/>
          <w:szCs w:val="28"/>
        </w:rPr>
      </w:pPr>
      <w:r>
        <w:rPr>
          <w:rFonts w:hint="eastAsia" w:eastAsia="宋体" w:cs="Times New Roman"/>
          <w:sz w:val="24"/>
        </w:rPr>
        <w:t>4、点击右上角“添加员工”</w:t>
      </w:r>
    </w:p>
    <w:p>
      <w:pPr>
        <w:ind w:left="640" w:hanging="640" w:hangingChars="200"/>
        <w:jc w:val="center"/>
        <w:rPr>
          <w:rFonts w:eastAsia="宋体" w:cs="Times New Roman"/>
          <w:sz w:val="24"/>
        </w:rPr>
      </w:pPr>
      <w:r>
        <w:drawing>
          <wp:inline distT="0" distB="0" distL="0" distR="0">
            <wp:extent cx="2671445" cy="1764030"/>
            <wp:effectExtent l="0" t="0" r="0" b="7620"/>
            <wp:docPr id="7227" name="图片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 name="图片 7227"/>
                    <pic:cNvPicPr>
                      <a:picLocks noChangeAspect="1"/>
                    </pic:cNvPicPr>
                  </pic:nvPicPr>
                  <pic:blipFill>
                    <a:blip r:embed="rId131"/>
                    <a:stretch>
                      <a:fillRect/>
                    </a:stretch>
                  </pic:blipFill>
                  <pic:spPr>
                    <a:xfrm>
                      <a:off x="0" y="0"/>
                      <a:ext cx="2683972" cy="1772356"/>
                    </a:xfrm>
                    <a:prstGeom prst="rect">
                      <a:avLst/>
                    </a:prstGeom>
                  </pic:spPr>
                </pic:pic>
              </a:graphicData>
            </a:graphic>
          </wp:inline>
        </w:drawing>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5</w:t>
      </w:r>
      <w:r>
        <w:rPr>
          <w:rFonts w:hint="eastAsia" w:eastAsia="宋体" w:cs="Times New Roman"/>
          <w:sz w:val="24"/>
        </w:rPr>
        <w:t>、在“添加员工”对话框输入具备扫码权限员工信息</w:t>
      </w:r>
    </w:p>
    <w:p>
      <w:pPr>
        <w:jc w:val="center"/>
        <w:rPr>
          <w:sz w:val="28"/>
          <w:szCs w:val="28"/>
        </w:rPr>
      </w:pPr>
      <w:r>
        <w:drawing>
          <wp:inline distT="0" distB="0" distL="0" distR="0">
            <wp:extent cx="3124835" cy="2036445"/>
            <wp:effectExtent l="0" t="0" r="0" b="1905"/>
            <wp:docPr id="7228" name="图片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 name="图片 7228"/>
                    <pic:cNvPicPr>
                      <a:picLocks noChangeAspect="1"/>
                    </pic:cNvPicPr>
                  </pic:nvPicPr>
                  <pic:blipFill>
                    <a:blip r:embed="rId132"/>
                    <a:stretch>
                      <a:fillRect/>
                    </a:stretch>
                  </pic:blipFill>
                  <pic:spPr>
                    <a:xfrm>
                      <a:off x="0" y="0"/>
                      <a:ext cx="3129218" cy="2039787"/>
                    </a:xfrm>
                    <a:prstGeom prst="rect">
                      <a:avLst/>
                    </a:prstGeom>
                  </pic:spPr>
                </pic:pic>
              </a:graphicData>
            </a:graphic>
          </wp:inline>
        </w:drawing>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6、添加成功后，在“扫码和隐患” 框内打钩，设置扫码权限</w:t>
      </w:r>
    </w:p>
    <w:p>
      <w:pPr>
        <w:jc w:val="center"/>
        <w:rPr>
          <w:sz w:val="28"/>
          <w:szCs w:val="28"/>
        </w:rPr>
      </w:pPr>
      <w:r>
        <w:drawing>
          <wp:inline distT="0" distB="0" distL="0" distR="0">
            <wp:extent cx="3227705" cy="1875790"/>
            <wp:effectExtent l="0" t="0" r="0" b="0"/>
            <wp:docPr id="7230" name="图片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 name="图片 7230"/>
                    <pic:cNvPicPr>
                      <a:picLocks noChangeAspect="1"/>
                    </pic:cNvPicPr>
                  </pic:nvPicPr>
                  <pic:blipFill>
                    <a:blip r:embed="rId133"/>
                    <a:stretch>
                      <a:fillRect/>
                    </a:stretch>
                  </pic:blipFill>
                  <pic:spPr>
                    <a:xfrm>
                      <a:off x="0" y="0"/>
                      <a:ext cx="3240932" cy="1883591"/>
                    </a:xfrm>
                    <a:prstGeom prst="rect">
                      <a:avLst/>
                    </a:prstGeom>
                  </pic:spPr>
                </pic:pic>
              </a:graphicData>
            </a:graphic>
          </wp:inline>
        </w:drawing>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7、下载“常州应急”A</w:t>
      </w:r>
      <w:r>
        <w:rPr>
          <w:rFonts w:eastAsia="宋体" w:cs="Times New Roman"/>
          <w:sz w:val="24"/>
        </w:rPr>
        <w:t>PP</w:t>
      </w:r>
      <w:r>
        <w:rPr>
          <w:rFonts w:hint="eastAsia" w:eastAsia="宋体" w:cs="Times New Roman"/>
          <w:sz w:val="24"/>
        </w:rPr>
        <w:t>，使用员工个人账号密码登录</w:t>
      </w:r>
    </w:p>
    <w:p>
      <w:pPr>
        <w:jc w:val="center"/>
        <w:rPr>
          <w:sz w:val="28"/>
          <w:szCs w:val="28"/>
        </w:rPr>
      </w:pPr>
      <w:r>
        <w:drawing>
          <wp:inline distT="0" distB="0" distL="0" distR="0">
            <wp:extent cx="2997200" cy="199009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4"/>
                    <a:stretch>
                      <a:fillRect/>
                    </a:stretch>
                  </pic:blipFill>
                  <pic:spPr>
                    <a:xfrm>
                      <a:off x="0" y="0"/>
                      <a:ext cx="3017290" cy="2003146"/>
                    </a:xfrm>
                    <a:prstGeom prst="rect">
                      <a:avLst/>
                    </a:prstGeom>
                  </pic:spPr>
                </pic:pic>
              </a:graphicData>
            </a:graphic>
          </wp:inline>
        </w:drawing>
      </w:r>
    </w:p>
    <w:p>
      <w:pPr>
        <w:jc w:val="left"/>
        <w:rPr>
          <w:sz w:val="28"/>
          <w:szCs w:val="28"/>
        </w:rPr>
      </w:pP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0" w:firstLineChars="200"/>
        <w:contextualSpacing/>
        <w:jc w:val="left"/>
        <w:rPr>
          <w:rFonts w:eastAsia="宋体" w:cs="Times New Roman"/>
          <w:sz w:val="24"/>
        </w:rPr>
      </w:pPr>
      <w:r>
        <w:rPr>
          <w:rFonts w:hint="eastAsia" w:eastAsia="宋体" w:cs="Times New Roman"/>
          <w:sz w:val="24"/>
        </w:rPr>
        <w:t>8、进入风险点所在位置，点击扫描现场风险告知卡右上角的二维码扫描图标</w:t>
      </w:r>
      <w:r>
        <w:rPr>
          <w:rFonts w:eastAsia="宋体" w:cs="Times New Roman"/>
          <w:sz w:val="24"/>
        </w:rPr>
        <w:t xml:space="preserve"> </w:t>
      </w:r>
    </w:p>
    <w:p>
      <w:pPr>
        <w:jc w:val="left"/>
        <w:rPr>
          <w:sz w:val="28"/>
          <w:szCs w:val="28"/>
        </w:rPr>
      </w:pPr>
      <w:r>
        <w:drawing>
          <wp:inline distT="0" distB="0" distL="0" distR="0">
            <wp:extent cx="1892300" cy="1290320"/>
            <wp:effectExtent l="0" t="0" r="0" b="5080"/>
            <wp:docPr id="7231" name="图片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 name="图片 7231"/>
                    <pic:cNvPicPr>
                      <a:picLocks noChangeAspect="1"/>
                    </pic:cNvPicPr>
                  </pic:nvPicPr>
                  <pic:blipFill>
                    <a:blip r:embed="rId135"/>
                    <a:stretch>
                      <a:fillRect/>
                    </a:stretch>
                  </pic:blipFill>
                  <pic:spPr>
                    <a:xfrm>
                      <a:off x="0" y="0"/>
                      <a:ext cx="1932766" cy="1317996"/>
                    </a:xfrm>
                    <a:prstGeom prst="rect">
                      <a:avLst/>
                    </a:prstGeom>
                  </pic:spPr>
                </pic:pic>
              </a:graphicData>
            </a:graphic>
          </wp:inline>
        </w:drawing>
      </w:r>
      <w:r>
        <w:drawing>
          <wp:inline distT="0" distB="0" distL="0" distR="0">
            <wp:extent cx="1963420" cy="1294765"/>
            <wp:effectExtent l="0" t="0" r="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36"/>
                    <a:stretch>
                      <a:fillRect/>
                    </a:stretch>
                  </pic:blipFill>
                  <pic:spPr>
                    <a:xfrm>
                      <a:off x="0" y="0"/>
                      <a:ext cx="1977199" cy="1303486"/>
                    </a:xfrm>
                    <a:prstGeom prst="rect">
                      <a:avLst/>
                    </a:prstGeom>
                  </pic:spPr>
                </pic:pic>
              </a:graphicData>
            </a:graphic>
          </wp:inline>
        </w:drawing>
      </w:r>
      <w:r>
        <w:rPr>
          <w:rFonts w:hint="eastAsia"/>
          <w:sz w:val="28"/>
          <w:szCs w:val="28"/>
        </w:rPr>
        <w:t xml:space="preserve"> </w:t>
      </w:r>
      <w:r>
        <w:rPr>
          <w:sz w:val="28"/>
          <w:szCs w:val="28"/>
        </w:rPr>
        <w:t xml:space="preserve">   </w:t>
      </w:r>
    </w:p>
    <w:p>
      <w:pPr>
        <w:jc w:val="left"/>
        <w:rPr>
          <w:sz w:val="28"/>
          <w:szCs w:val="28"/>
        </w:rPr>
      </w:pPr>
    </w:p>
    <w:p>
      <w:pPr>
        <w:jc w:val="left"/>
        <w:rPr>
          <w:sz w:val="28"/>
          <w:szCs w:val="28"/>
        </w:rPr>
      </w:pPr>
    </w:p>
    <w:p>
      <w:pPr>
        <w:jc w:val="left"/>
        <w:rPr>
          <w:sz w:val="28"/>
          <w:szCs w:val="28"/>
        </w:rPr>
      </w:pPr>
    </w:p>
    <w:p>
      <w:pPr>
        <w:ind w:firstLine="560" w:firstLineChars="200"/>
        <w:jc w:val="left"/>
        <w:rPr>
          <w:sz w:val="28"/>
          <w:szCs w:val="28"/>
        </w:rPr>
      </w:pPr>
    </w:p>
    <w:p>
      <w:pPr>
        <w:ind w:firstLine="480" w:firstLineChars="200"/>
        <w:jc w:val="left"/>
        <w:rPr>
          <w:rFonts w:eastAsia="宋体" w:cs="Times New Roman"/>
          <w:sz w:val="24"/>
        </w:rPr>
      </w:pPr>
      <w:r>
        <w:rPr>
          <w:rFonts w:hint="eastAsia" w:eastAsia="宋体" w:cs="Times New Roman"/>
          <w:sz w:val="24"/>
        </w:rPr>
        <w:t>9、扫码进入后点击开始检查</w:t>
      </w:r>
    </w:p>
    <w:p>
      <w:pPr>
        <w:jc w:val="center"/>
        <w:rPr>
          <w:sz w:val="28"/>
          <w:szCs w:val="28"/>
        </w:rPr>
      </w:pPr>
      <w:r>
        <w:drawing>
          <wp:inline distT="0" distB="0" distL="0" distR="0">
            <wp:extent cx="1398905" cy="1933575"/>
            <wp:effectExtent l="0" t="0" r="0" b="0"/>
            <wp:docPr id="31033" name="图片 3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3" name="图片 31033"/>
                    <pic:cNvPicPr>
                      <a:picLocks noChangeAspect="1"/>
                    </pic:cNvPicPr>
                  </pic:nvPicPr>
                  <pic:blipFill>
                    <a:blip r:embed="rId137"/>
                    <a:stretch>
                      <a:fillRect/>
                    </a:stretch>
                  </pic:blipFill>
                  <pic:spPr>
                    <a:xfrm>
                      <a:off x="0" y="0"/>
                      <a:ext cx="1423102" cy="1966795"/>
                    </a:xfrm>
                    <a:prstGeom prst="rect">
                      <a:avLst/>
                    </a:prstGeom>
                  </pic:spPr>
                </pic:pic>
              </a:graphicData>
            </a:graphic>
          </wp:inline>
        </w:drawing>
      </w:r>
    </w:p>
    <w:p>
      <w:pPr>
        <w:ind w:firstLine="560" w:firstLineChars="200"/>
        <w:jc w:val="left"/>
        <w:rPr>
          <w:sz w:val="28"/>
          <w:szCs w:val="28"/>
        </w:rPr>
      </w:pPr>
    </w:p>
    <w:p>
      <w:pPr>
        <w:spacing w:line="360" w:lineRule="auto"/>
        <w:ind w:firstLine="480" w:firstLineChars="200"/>
        <w:jc w:val="left"/>
        <w:rPr>
          <w:rFonts w:eastAsia="宋体" w:cs="Times New Roman"/>
          <w:sz w:val="24"/>
        </w:rPr>
      </w:pPr>
      <w:r>
        <w:rPr>
          <w:rFonts w:hint="eastAsia" w:eastAsia="宋体" w:cs="Times New Roman"/>
          <w:sz w:val="24"/>
        </w:rPr>
        <w:t>1</w:t>
      </w:r>
      <w:r>
        <w:rPr>
          <w:rFonts w:eastAsia="宋体" w:cs="Times New Roman"/>
          <w:sz w:val="24"/>
        </w:rPr>
        <w:t>0</w:t>
      </w:r>
      <w:r>
        <w:rPr>
          <w:rFonts w:hint="eastAsia" w:eastAsia="宋体" w:cs="Times New Roman"/>
          <w:sz w:val="24"/>
        </w:rPr>
        <w:t>、根据现场检查情况，结合A</w:t>
      </w:r>
      <w:r>
        <w:rPr>
          <w:rFonts w:eastAsia="宋体" w:cs="Times New Roman"/>
          <w:sz w:val="24"/>
        </w:rPr>
        <w:t>PP</w:t>
      </w:r>
      <w:r>
        <w:rPr>
          <w:rFonts w:hint="eastAsia" w:eastAsia="宋体" w:cs="Times New Roman"/>
          <w:sz w:val="24"/>
        </w:rPr>
        <w:t>中的管控措施条款进行比对排查，如现场排查没有不符合项，点击“正常”，最后提交</w:t>
      </w:r>
    </w:p>
    <w:p>
      <w:pPr>
        <w:pStyle w:val="2"/>
        <w:jc w:val="center"/>
      </w:pPr>
      <w:r>
        <w:drawing>
          <wp:inline distT="0" distB="0" distL="0" distR="0">
            <wp:extent cx="1812290" cy="2507615"/>
            <wp:effectExtent l="0" t="0" r="0" b="6985"/>
            <wp:docPr id="31034" name="图片 3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4" name="图片 31034"/>
                    <pic:cNvPicPr>
                      <a:picLocks noChangeAspect="1"/>
                    </pic:cNvPicPr>
                  </pic:nvPicPr>
                  <pic:blipFill>
                    <a:blip r:embed="rId138"/>
                    <a:srcRect r="2521"/>
                    <a:stretch>
                      <a:fillRect/>
                    </a:stretch>
                  </pic:blipFill>
                  <pic:spPr>
                    <a:xfrm>
                      <a:off x="0" y="0"/>
                      <a:ext cx="1822723" cy="2521245"/>
                    </a:xfrm>
                    <a:prstGeom prst="rect">
                      <a:avLst/>
                    </a:prstGeom>
                    <a:ln>
                      <a:noFill/>
                    </a:ln>
                  </pic:spPr>
                </pic:pic>
              </a:graphicData>
            </a:graphic>
          </wp:inline>
        </w:drawing>
      </w:r>
    </w:p>
    <w:p>
      <w:pPr>
        <w:spacing w:line="360" w:lineRule="auto"/>
        <w:ind w:firstLine="480" w:firstLineChars="200"/>
        <w:jc w:val="left"/>
        <w:rPr>
          <w:rFonts w:eastAsia="宋体" w:cs="Times New Roman"/>
          <w:sz w:val="24"/>
        </w:rPr>
      </w:pPr>
      <w:r>
        <w:rPr>
          <w:rFonts w:hint="eastAsia" w:eastAsia="宋体" w:cs="Times New Roman"/>
          <w:sz w:val="24"/>
        </w:rPr>
        <w:t>1</w:t>
      </w:r>
      <w:r>
        <w:rPr>
          <w:rFonts w:eastAsia="宋体" w:cs="Times New Roman"/>
          <w:sz w:val="24"/>
        </w:rPr>
        <w:t>1</w:t>
      </w:r>
      <w:r>
        <w:rPr>
          <w:rFonts w:hint="eastAsia" w:eastAsia="宋体" w:cs="Times New Roman"/>
          <w:sz w:val="24"/>
        </w:rPr>
        <w:t>、检查发现现场有隐患，在对应的管控措施那条点击异常，进入隐患界面，输入隐患整改的信息及现场照片，隐患描述可根据实际情况填写，填写完后点击提交</w:t>
      </w:r>
    </w:p>
    <w:p>
      <w:pPr>
        <w:jc w:val="center"/>
        <w:rPr>
          <w:sz w:val="28"/>
          <w:szCs w:val="28"/>
        </w:rPr>
      </w:pPr>
      <w:r>
        <w:drawing>
          <wp:inline distT="0" distB="0" distL="0" distR="0">
            <wp:extent cx="1732915" cy="2897505"/>
            <wp:effectExtent l="0" t="0" r="635" b="0"/>
            <wp:docPr id="7183" name="图片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 name="图片 7183"/>
                    <pic:cNvPicPr>
                      <a:picLocks noChangeAspect="1"/>
                    </pic:cNvPicPr>
                  </pic:nvPicPr>
                  <pic:blipFill>
                    <a:blip r:embed="rId139"/>
                    <a:srcRect r="3692"/>
                    <a:stretch>
                      <a:fillRect/>
                    </a:stretch>
                  </pic:blipFill>
                  <pic:spPr>
                    <a:xfrm>
                      <a:off x="0" y="0"/>
                      <a:ext cx="1745412" cy="2918843"/>
                    </a:xfrm>
                    <a:prstGeom prst="rect">
                      <a:avLst/>
                    </a:prstGeom>
                    <a:ln>
                      <a:noFill/>
                    </a:ln>
                  </pic:spPr>
                </pic:pic>
              </a:graphicData>
            </a:graphic>
          </wp:inline>
        </w:drawing>
      </w:r>
    </w:p>
    <w:p>
      <w:pPr>
        <w:widowControl/>
        <w:jc w:val="left"/>
        <w:rPr>
          <w:sz w:val="28"/>
          <w:szCs w:val="28"/>
        </w:rPr>
      </w:pPr>
      <w:r>
        <w:rPr>
          <w:sz w:val="28"/>
          <w:szCs w:val="28"/>
        </w:rPr>
        <w:br w:type="page"/>
      </w:r>
    </w:p>
    <w:p>
      <w:pPr>
        <w:spacing w:line="360" w:lineRule="auto"/>
        <w:ind w:firstLine="480" w:firstLineChars="200"/>
        <w:jc w:val="left"/>
        <w:rPr>
          <w:rFonts w:eastAsia="宋体" w:cs="Times New Roman"/>
          <w:sz w:val="24"/>
        </w:rPr>
      </w:pPr>
      <w:r>
        <w:rPr>
          <w:rFonts w:hint="eastAsia" w:eastAsia="宋体" w:cs="Times New Roman"/>
          <w:sz w:val="24"/>
        </w:rPr>
        <w:t>1</w:t>
      </w:r>
      <w:r>
        <w:rPr>
          <w:rFonts w:eastAsia="宋体" w:cs="Times New Roman"/>
          <w:sz w:val="24"/>
        </w:rPr>
        <w:t>2</w:t>
      </w:r>
      <w:r>
        <w:rPr>
          <w:rFonts w:hint="eastAsia" w:eastAsia="宋体" w:cs="Times New Roman"/>
          <w:sz w:val="24"/>
        </w:rPr>
        <w:t>、如果发现排查的隐患不在所列出的管控措施内，点击“其他”进行管控信息录入，可进行多次录入，点击“异常”进行隐患录入，最后提交</w:t>
      </w:r>
    </w:p>
    <w:p>
      <w:pPr>
        <w:jc w:val="left"/>
        <w:rPr>
          <w:sz w:val="28"/>
          <w:szCs w:val="28"/>
        </w:rPr>
      </w:pPr>
      <w:r>
        <w:drawing>
          <wp:inline distT="0" distB="0" distL="0" distR="0">
            <wp:extent cx="1202690" cy="2381250"/>
            <wp:effectExtent l="0" t="0" r="0" b="0"/>
            <wp:docPr id="31038" name="图片 3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8" name="图片 31038"/>
                    <pic:cNvPicPr>
                      <a:picLocks noChangeAspect="1"/>
                    </pic:cNvPicPr>
                  </pic:nvPicPr>
                  <pic:blipFill>
                    <a:blip r:embed="rId140"/>
                    <a:stretch>
                      <a:fillRect/>
                    </a:stretch>
                  </pic:blipFill>
                  <pic:spPr>
                    <a:xfrm>
                      <a:off x="0" y="0"/>
                      <a:ext cx="1241025" cy="2457492"/>
                    </a:xfrm>
                    <a:prstGeom prst="rect">
                      <a:avLst/>
                    </a:prstGeom>
                  </pic:spPr>
                </pic:pic>
              </a:graphicData>
            </a:graphic>
          </wp:inline>
        </w:drawing>
      </w:r>
      <w:r>
        <w:t xml:space="preserve"> </w:t>
      </w:r>
      <w:r>
        <w:drawing>
          <wp:inline distT="0" distB="0" distL="0" distR="0">
            <wp:extent cx="1195705" cy="2387600"/>
            <wp:effectExtent l="0" t="0" r="4445" b="0"/>
            <wp:docPr id="31039" name="图片 3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9" name="图片 31039"/>
                    <pic:cNvPicPr>
                      <a:picLocks noChangeAspect="1"/>
                    </pic:cNvPicPr>
                  </pic:nvPicPr>
                  <pic:blipFill>
                    <a:blip r:embed="rId141"/>
                    <a:stretch>
                      <a:fillRect/>
                    </a:stretch>
                  </pic:blipFill>
                  <pic:spPr>
                    <a:xfrm>
                      <a:off x="0" y="0"/>
                      <a:ext cx="1222651" cy="2441616"/>
                    </a:xfrm>
                    <a:prstGeom prst="rect">
                      <a:avLst/>
                    </a:prstGeom>
                  </pic:spPr>
                </pic:pic>
              </a:graphicData>
            </a:graphic>
          </wp:inline>
        </w:drawing>
      </w:r>
      <w:r>
        <w:drawing>
          <wp:inline distT="0" distB="0" distL="0" distR="0">
            <wp:extent cx="1216660" cy="2403475"/>
            <wp:effectExtent l="0" t="0" r="254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42"/>
                    <a:stretch>
                      <a:fillRect/>
                    </a:stretch>
                  </pic:blipFill>
                  <pic:spPr>
                    <a:xfrm>
                      <a:off x="0" y="0"/>
                      <a:ext cx="1269662" cy="2507998"/>
                    </a:xfrm>
                    <a:prstGeom prst="rect">
                      <a:avLst/>
                    </a:prstGeom>
                  </pic:spPr>
                </pic:pic>
              </a:graphicData>
            </a:graphic>
          </wp:inline>
        </w:drawing>
      </w:r>
    </w:p>
    <w:p>
      <w:pPr>
        <w:widowControl/>
        <w:jc w:val="left"/>
        <w:rPr>
          <w:sz w:val="28"/>
          <w:szCs w:val="28"/>
        </w:rPr>
      </w:pPr>
      <w:r>
        <w:rPr>
          <w:sz w:val="28"/>
          <w:szCs w:val="28"/>
        </w:rPr>
        <w:br w:type="page"/>
      </w:r>
    </w:p>
    <w:p>
      <w:pPr>
        <w:spacing w:line="360" w:lineRule="auto"/>
        <w:ind w:firstLine="480" w:firstLineChars="200"/>
        <w:jc w:val="left"/>
        <w:rPr>
          <w:rFonts w:eastAsia="宋体" w:cs="Times New Roman"/>
          <w:sz w:val="24"/>
        </w:rPr>
      </w:pPr>
      <w:r>
        <w:rPr>
          <w:rFonts w:hint="eastAsia" w:eastAsia="宋体" w:cs="Times New Roman"/>
          <w:sz w:val="24"/>
        </w:rPr>
        <w:t>1</w:t>
      </w:r>
      <w:r>
        <w:rPr>
          <w:rFonts w:eastAsia="宋体" w:cs="Times New Roman"/>
          <w:sz w:val="24"/>
        </w:rPr>
        <w:t>3</w:t>
      </w:r>
      <w:r>
        <w:rPr>
          <w:rFonts w:hint="eastAsia" w:eastAsia="宋体" w:cs="Times New Roman"/>
          <w:sz w:val="24"/>
        </w:rPr>
        <w:t>、然后继续进行其他管控措施的检查，最后提交</w:t>
      </w:r>
    </w:p>
    <w:p>
      <w:pPr>
        <w:jc w:val="center"/>
        <w:rPr>
          <w:sz w:val="28"/>
          <w:szCs w:val="28"/>
        </w:rPr>
      </w:pPr>
      <w:r>
        <w:drawing>
          <wp:inline distT="0" distB="0" distL="0" distR="0">
            <wp:extent cx="1779905" cy="2475865"/>
            <wp:effectExtent l="0" t="0" r="0" b="63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43"/>
                    <a:stretch>
                      <a:fillRect/>
                    </a:stretch>
                  </pic:blipFill>
                  <pic:spPr>
                    <a:xfrm>
                      <a:off x="0" y="0"/>
                      <a:ext cx="1790289" cy="2490023"/>
                    </a:xfrm>
                    <a:prstGeom prst="rect">
                      <a:avLst/>
                    </a:prstGeom>
                  </pic:spPr>
                </pic:pic>
              </a:graphicData>
            </a:graphic>
          </wp:inline>
        </w:drawing>
      </w:r>
    </w:p>
    <w:p>
      <w:pPr>
        <w:spacing w:line="360" w:lineRule="auto"/>
        <w:ind w:firstLine="480" w:firstLineChars="200"/>
        <w:jc w:val="left"/>
        <w:rPr>
          <w:rFonts w:eastAsia="宋体" w:cs="Times New Roman"/>
          <w:sz w:val="24"/>
        </w:rPr>
      </w:pPr>
      <w:r>
        <w:rPr>
          <w:rFonts w:hint="eastAsia" w:eastAsia="宋体" w:cs="Times New Roman"/>
          <w:sz w:val="24"/>
        </w:rPr>
        <w:t>1</w:t>
      </w:r>
      <w:r>
        <w:rPr>
          <w:rFonts w:eastAsia="宋体" w:cs="Times New Roman"/>
          <w:sz w:val="24"/>
        </w:rPr>
        <w:t>4</w:t>
      </w:r>
      <w:r>
        <w:rPr>
          <w:rFonts w:hint="eastAsia" w:eastAsia="宋体" w:cs="Times New Roman"/>
          <w:sz w:val="24"/>
        </w:rPr>
        <w:t>、返回“常州应急”A</w:t>
      </w:r>
      <w:r>
        <w:rPr>
          <w:rFonts w:eastAsia="宋体" w:cs="Times New Roman"/>
          <w:sz w:val="24"/>
        </w:rPr>
        <w:t>PP</w:t>
      </w:r>
      <w:r>
        <w:rPr>
          <w:rFonts w:hint="eastAsia" w:eastAsia="宋体" w:cs="Times New Roman"/>
          <w:sz w:val="24"/>
        </w:rPr>
        <w:t>主页面，点击右下角“办公，”再点击“风险管控”</w:t>
      </w:r>
    </w:p>
    <w:p>
      <w:pPr>
        <w:jc w:val="center"/>
        <w:rPr>
          <w:sz w:val="28"/>
          <w:szCs w:val="28"/>
        </w:rPr>
      </w:pPr>
      <w:r>
        <w:drawing>
          <wp:inline distT="0" distB="0" distL="0" distR="0">
            <wp:extent cx="1788795" cy="2484120"/>
            <wp:effectExtent l="0" t="0" r="1905"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44"/>
                    <a:stretch>
                      <a:fillRect/>
                    </a:stretch>
                  </pic:blipFill>
                  <pic:spPr>
                    <a:xfrm>
                      <a:off x="0" y="0"/>
                      <a:ext cx="1803517" cy="2504843"/>
                    </a:xfrm>
                    <a:prstGeom prst="rect">
                      <a:avLst/>
                    </a:prstGeom>
                  </pic:spPr>
                </pic:pic>
              </a:graphicData>
            </a:graphic>
          </wp:inline>
        </w:drawing>
      </w:r>
    </w:p>
    <w:p>
      <w:pPr>
        <w:spacing w:line="360" w:lineRule="auto"/>
        <w:ind w:firstLine="480" w:firstLineChars="200"/>
        <w:jc w:val="left"/>
        <w:rPr>
          <w:rFonts w:eastAsia="宋体" w:cs="Times New Roman"/>
          <w:sz w:val="24"/>
        </w:rPr>
      </w:pPr>
      <w:r>
        <w:rPr>
          <w:rFonts w:hint="eastAsia" w:eastAsia="宋体" w:cs="Times New Roman"/>
          <w:sz w:val="24"/>
        </w:rPr>
        <w:t>1</w:t>
      </w:r>
      <w:r>
        <w:rPr>
          <w:rFonts w:eastAsia="宋体" w:cs="Times New Roman"/>
          <w:sz w:val="24"/>
        </w:rPr>
        <w:t>5</w:t>
      </w:r>
      <w:r>
        <w:rPr>
          <w:rFonts w:hint="eastAsia" w:eastAsia="宋体" w:cs="Times New Roman"/>
          <w:sz w:val="24"/>
        </w:rPr>
        <w:t>、查看隐患汇总和隐患整改情况</w:t>
      </w:r>
    </w:p>
    <w:p>
      <w:pPr>
        <w:jc w:val="center"/>
        <w:rPr>
          <w:sz w:val="28"/>
          <w:szCs w:val="28"/>
        </w:rPr>
      </w:pPr>
      <w:r>
        <w:drawing>
          <wp:inline distT="0" distB="0" distL="0" distR="0">
            <wp:extent cx="1732915" cy="2435860"/>
            <wp:effectExtent l="0" t="0" r="635" b="254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45"/>
                    <a:stretch>
                      <a:fillRect/>
                    </a:stretch>
                  </pic:blipFill>
                  <pic:spPr>
                    <a:xfrm>
                      <a:off x="0" y="0"/>
                      <a:ext cx="1753214" cy="2464328"/>
                    </a:xfrm>
                    <a:prstGeom prst="rect">
                      <a:avLst/>
                    </a:prstGeom>
                  </pic:spPr>
                </pic:pic>
              </a:graphicData>
            </a:graphic>
          </wp:inline>
        </w:drawing>
      </w:r>
    </w:p>
    <w:p>
      <w:pPr>
        <w:spacing w:line="360" w:lineRule="auto"/>
        <w:ind w:firstLine="480" w:firstLineChars="200"/>
        <w:jc w:val="left"/>
        <w:rPr>
          <w:rFonts w:eastAsia="宋体" w:cs="Times New Roman"/>
          <w:sz w:val="24"/>
        </w:rPr>
      </w:pPr>
      <w:r>
        <w:rPr>
          <w:rFonts w:hint="eastAsia" w:eastAsia="宋体" w:cs="Times New Roman"/>
          <w:sz w:val="24"/>
        </w:rPr>
        <w:t>1</w:t>
      </w:r>
      <w:r>
        <w:rPr>
          <w:rFonts w:eastAsia="宋体" w:cs="Times New Roman"/>
          <w:sz w:val="24"/>
        </w:rPr>
        <w:t>6</w:t>
      </w:r>
      <w:r>
        <w:rPr>
          <w:rFonts w:hint="eastAsia" w:eastAsia="宋体" w:cs="Times New Roman"/>
          <w:sz w:val="24"/>
        </w:rPr>
        <w:t>、进入“隐患汇总”查看</w:t>
      </w:r>
    </w:p>
    <w:p>
      <w:pPr>
        <w:jc w:val="center"/>
        <w:rPr>
          <w:sz w:val="28"/>
          <w:szCs w:val="28"/>
        </w:rPr>
      </w:pPr>
      <w:r>
        <w:drawing>
          <wp:inline distT="0" distB="0" distL="0" distR="0">
            <wp:extent cx="1820545" cy="2584450"/>
            <wp:effectExtent l="0" t="0" r="8255"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46"/>
                    <a:stretch>
                      <a:fillRect/>
                    </a:stretch>
                  </pic:blipFill>
                  <pic:spPr>
                    <a:xfrm>
                      <a:off x="0" y="0"/>
                      <a:ext cx="1835501" cy="2605502"/>
                    </a:xfrm>
                    <a:prstGeom prst="rect">
                      <a:avLst/>
                    </a:prstGeom>
                  </pic:spPr>
                </pic:pic>
              </a:graphicData>
            </a:graphic>
          </wp:inline>
        </w:drawing>
      </w:r>
    </w:p>
    <w:p>
      <w:pPr>
        <w:widowControl/>
        <w:jc w:val="left"/>
        <w:rPr>
          <w:sz w:val="28"/>
          <w:szCs w:val="28"/>
        </w:rPr>
      </w:pPr>
      <w:r>
        <w:rPr>
          <w:sz w:val="28"/>
          <w:szCs w:val="28"/>
        </w:rPr>
        <w:br w:type="page"/>
      </w:r>
    </w:p>
    <w:p>
      <w:pPr>
        <w:spacing w:line="360" w:lineRule="auto"/>
        <w:ind w:firstLine="480" w:firstLineChars="200"/>
        <w:jc w:val="left"/>
        <w:rPr>
          <w:rFonts w:eastAsia="宋体" w:cs="Times New Roman"/>
          <w:sz w:val="24"/>
        </w:rPr>
      </w:pPr>
      <w:r>
        <w:rPr>
          <w:rFonts w:hint="eastAsia" w:eastAsia="宋体" w:cs="Times New Roman"/>
          <w:sz w:val="24"/>
        </w:rPr>
        <w:t>1</w:t>
      </w:r>
      <w:r>
        <w:rPr>
          <w:rFonts w:eastAsia="宋体" w:cs="Times New Roman"/>
          <w:sz w:val="24"/>
        </w:rPr>
        <w:t>7</w:t>
      </w:r>
      <w:r>
        <w:rPr>
          <w:rFonts w:hint="eastAsia" w:eastAsia="宋体" w:cs="Times New Roman"/>
          <w:sz w:val="24"/>
        </w:rPr>
        <w:t>、针对未整改隐患，进入“隐患整改”界面</w:t>
      </w:r>
    </w:p>
    <w:p>
      <w:pPr>
        <w:jc w:val="center"/>
        <w:rPr>
          <w:sz w:val="28"/>
          <w:szCs w:val="28"/>
        </w:rPr>
      </w:pPr>
      <w:r>
        <w:drawing>
          <wp:inline distT="0" distB="0" distL="0" distR="0">
            <wp:extent cx="1614170" cy="2242185"/>
            <wp:effectExtent l="0" t="0" r="508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47"/>
                    <a:stretch>
                      <a:fillRect/>
                    </a:stretch>
                  </pic:blipFill>
                  <pic:spPr>
                    <a:xfrm>
                      <a:off x="0" y="0"/>
                      <a:ext cx="1631301" cy="2265782"/>
                    </a:xfrm>
                    <a:prstGeom prst="rect">
                      <a:avLst/>
                    </a:prstGeom>
                  </pic:spPr>
                </pic:pic>
              </a:graphicData>
            </a:graphic>
          </wp:inline>
        </w:drawing>
      </w:r>
    </w:p>
    <w:p>
      <w:pPr>
        <w:spacing w:line="360" w:lineRule="auto"/>
        <w:ind w:firstLine="480" w:firstLineChars="200"/>
        <w:jc w:val="left"/>
        <w:rPr>
          <w:rFonts w:eastAsia="宋体" w:cs="Times New Roman"/>
          <w:sz w:val="24"/>
        </w:rPr>
      </w:pPr>
      <w:r>
        <w:rPr>
          <w:rFonts w:hint="eastAsia" w:eastAsia="宋体" w:cs="Times New Roman"/>
          <w:sz w:val="24"/>
        </w:rPr>
        <w:t>1</w:t>
      </w:r>
      <w:r>
        <w:rPr>
          <w:rFonts w:eastAsia="宋体" w:cs="Times New Roman"/>
          <w:sz w:val="24"/>
        </w:rPr>
        <w:t>8</w:t>
      </w:r>
      <w:r>
        <w:rPr>
          <w:rFonts w:hint="eastAsia" w:eastAsia="宋体" w:cs="Times New Roman"/>
          <w:sz w:val="24"/>
        </w:rPr>
        <w:t>、点击“隐患整改”，进行整改信息录入，点击“确认整改“”，完成隐患整改闭环工作</w:t>
      </w:r>
    </w:p>
    <w:p>
      <w:pPr>
        <w:jc w:val="center"/>
        <w:rPr>
          <w:sz w:val="28"/>
          <w:szCs w:val="28"/>
        </w:rPr>
      </w:pPr>
      <w:r>
        <w:drawing>
          <wp:inline distT="0" distB="0" distL="0" distR="0">
            <wp:extent cx="1553210" cy="2734945"/>
            <wp:effectExtent l="0" t="0" r="8890" b="8255"/>
            <wp:docPr id="7190" name="图片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 name="图片 7190"/>
                    <pic:cNvPicPr>
                      <a:picLocks noChangeAspect="1"/>
                    </pic:cNvPicPr>
                  </pic:nvPicPr>
                  <pic:blipFill>
                    <a:blip r:embed="rId148"/>
                    <a:stretch>
                      <a:fillRect/>
                    </a:stretch>
                  </pic:blipFill>
                  <pic:spPr>
                    <a:xfrm>
                      <a:off x="0" y="0"/>
                      <a:ext cx="1579619" cy="2780717"/>
                    </a:xfrm>
                    <a:prstGeom prst="rect">
                      <a:avLst/>
                    </a:prstGeom>
                  </pic:spPr>
                </pic:pic>
              </a:graphicData>
            </a:graphic>
          </wp:inline>
        </w:drawing>
      </w:r>
    </w:p>
    <w:p>
      <w:pPr>
        <w:spacing w:line="360" w:lineRule="auto"/>
        <w:ind w:firstLine="560" w:firstLineChars="200"/>
        <w:jc w:val="left"/>
        <w:rPr>
          <w:rFonts w:eastAsia="宋体" w:cs="Times New Roman"/>
          <w:sz w:val="24"/>
        </w:rPr>
      </w:pPr>
      <w:r>
        <w:rPr>
          <w:sz w:val="28"/>
          <w:szCs w:val="28"/>
        </w:rPr>
        <w:br w:type="page"/>
      </w:r>
      <w:r>
        <w:rPr>
          <w:rFonts w:hint="eastAsia" w:eastAsia="宋体" w:cs="Times New Roman"/>
          <w:sz w:val="24"/>
        </w:rPr>
        <w:t>1</w:t>
      </w:r>
      <w:r>
        <w:rPr>
          <w:rFonts w:eastAsia="宋体" w:cs="Times New Roman"/>
          <w:sz w:val="24"/>
        </w:rPr>
        <w:t>9</w:t>
      </w:r>
      <w:r>
        <w:rPr>
          <w:rFonts w:hint="eastAsia" w:eastAsia="宋体" w:cs="Times New Roman"/>
          <w:sz w:val="24"/>
        </w:rPr>
        <w:t xml:space="preserve">、隐患汇总和隐患整改在“企业安全生产申报信息系统”里也可以进行操作 </w:t>
      </w:r>
    </w:p>
    <w:p>
      <w:pPr>
        <w:widowControl/>
        <w:spacing w:line="360" w:lineRule="auto"/>
        <w:jc w:val="center"/>
        <w:rPr>
          <w:sz w:val="28"/>
          <w:szCs w:val="28"/>
        </w:rPr>
      </w:pPr>
      <w:r>
        <w:drawing>
          <wp:inline distT="0" distB="0" distL="0" distR="0">
            <wp:extent cx="2886075" cy="1854200"/>
            <wp:effectExtent l="0" t="0" r="9525"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49"/>
                    <a:stretch>
                      <a:fillRect/>
                    </a:stretch>
                  </pic:blipFill>
                  <pic:spPr>
                    <a:xfrm>
                      <a:off x="0" y="0"/>
                      <a:ext cx="2896186" cy="1860561"/>
                    </a:xfrm>
                    <a:prstGeom prst="rect">
                      <a:avLst/>
                    </a:prstGeom>
                  </pic:spPr>
                </pic:pic>
              </a:graphicData>
            </a:graphic>
          </wp:inline>
        </w:drawing>
      </w:r>
    </w:p>
    <w:p>
      <w:pPr>
        <w:spacing w:line="360" w:lineRule="auto"/>
        <w:ind w:firstLine="480" w:firstLineChars="200"/>
        <w:jc w:val="left"/>
        <w:rPr>
          <w:rFonts w:eastAsia="宋体" w:cs="Times New Roman"/>
          <w:sz w:val="24"/>
        </w:rPr>
      </w:pPr>
    </w:p>
    <w:p>
      <w:pPr>
        <w:spacing w:line="360" w:lineRule="auto"/>
        <w:ind w:firstLine="480" w:firstLineChars="200"/>
        <w:jc w:val="left"/>
        <w:rPr>
          <w:rFonts w:eastAsia="宋体" w:cs="Times New Roman"/>
          <w:sz w:val="24"/>
        </w:rPr>
      </w:pPr>
      <w:r>
        <w:rPr>
          <w:rFonts w:eastAsia="宋体" w:cs="Times New Roman"/>
          <w:sz w:val="24"/>
        </w:rPr>
        <w:t>20</w:t>
      </w:r>
      <w:r>
        <w:rPr>
          <w:rFonts w:hint="eastAsia" w:eastAsia="宋体" w:cs="Times New Roman"/>
          <w:sz w:val="24"/>
        </w:rPr>
        <w:t>、点击查看“隐患汇总”</w:t>
      </w:r>
    </w:p>
    <w:p>
      <w:pPr>
        <w:jc w:val="center"/>
        <w:rPr>
          <w:sz w:val="28"/>
          <w:szCs w:val="28"/>
        </w:rPr>
      </w:pPr>
      <w:r>
        <w:drawing>
          <wp:inline distT="0" distB="0" distL="0" distR="0">
            <wp:extent cx="2909570" cy="1765935"/>
            <wp:effectExtent l="0" t="0" r="5080" b="571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50"/>
                    <a:stretch>
                      <a:fillRect/>
                    </a:stretch>
                  </pic:blipFill>
                  <pic:spPr>
                    <a:xfrm>
                      <a:off x="0" y="0"/>
                      <a:ext cx="2935340" cy="1781349"/>
                    </a:xfrm>
                    <a:prstGeom prst="rect">
                      <a:avLst/>
                    </a:prstGeom>
                  </pic:spPr>
                </pic:pic>
              </a:graphicData>
            </a:graphic>
          </wp:inline>
        </w:drawing>
      </w:r>
    </w:p>
    <w:p>
      <w:pPr>
        <w:spacing w:line="360" w:lineRule="auto"/>
        <w:ind w:firstLine="480" w:firstLineChars="200"/>
        <w:jc w:val="left"/>
        <w:rPr>
          <w:rFonts w:eastAsia="宋体" w:cs="Times New Roman"/>
          <w:sz w:val="24"/>
        </w:rPr>
      </w:pPr>
    </w:p>
    <w:p>
      <w:pPr>
        <w:pStyle w:val="2"/>
        <w:rPr>
          <w:sz w:val="24"/>
        </w:rPr>
      </w:pPr>
    </w:p>
    <w:p>
      <w:pPr>
        <w:pStyle w:val="2"/>
        <w:rPr>
          <w:sz w:val="24"/>
        </w:rPr>
      </w:pPr>
    </w:p>
    <w:p>
      <w:pPr>
        <w:pStyle w:val="2"/>
        <w:rPr>
          <w:sz w:val="24"/>
        </w:rPr>
      </w:pPr>
    </w:p>
    <w:p>
      <w:pPr>
        <w:spacing w:line="360" w:lineRule="auto"/>
        <w:ind w:firstLine="480" w:firstLineChars="200"/>
        <w:jc w:val="left"/>
        <w:rPr>
          <w:rFonts w:eastAsia="宋体" w:cs="Times New Roman"/>
          <w:sz w:val="24"/>
        </w:rPr>
      </w:pPr>
      <w:r>
        <w:rPr>
          <w:rFonts w:hint="eastAsia" w:eastAsia="宋体" w:cs="Times New Roman"/>
          <w:sz w:val="24"/>
        </w:rPr>
        <w:t>2</w:t>
      </w:r>
      <w:r>
        <w:rPr>
          <w:rFonts w:eastAsia="宋体" w:cs="Times New Roman"/>
          <w:sz w:val="24"/>
        </w:rPr>
        <w:t>1</w:t>
      </w:r>
      <w:r>
        <w:rPr>
          <w:rFonts w:hint="eastAsia" w:eastAsia="宋体" w:cs="Times New Roman"/>
          <w:sz w:val="24"/>
        </w:rPr>
        <w:t>、点击“隐患整改”，进行整改信息录入，点击“确认整改”，完成隐患整改闭环工作</w:t>
      </w:r>
    </w:p>
    <w:p>
      <w:pPr>
        <w:rPr>
          <w:sz w:val="28"/>
          <w:szCs w:val="28"/>
        </w:rPr>
      </w:pPr>
      <w:r>
        <w:drawing>
          <wp:inline distT="0" distB="0" distL="0" distR="0">
            <wp:extent cx="1996440" cy="1287145"/>
            <wp:effectExtent l="0" t="0" r="3810" b="825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51"/>
                    <a:stretch>
                      <a:fillRect/>
                    </a:stretch>
                  </pic:blipFill>
                  <pic:spPr>
                    <a:xfrm>
                      <a:off x="0" y="0"/>
                      <a:ext cx="2021911" cy="1303217"/>
                    </a:xfrm>
                    <a:prstGeom prst="rect">
                      <a:avLst/>
                    </a:prstGeom>
                  </pic:spPr>
                </pic:pic>
              </a:graphicData>
            </a:graphic>
          </wp:inline>
        </w:drawing>
      </w:r>
      <w:r>
        <w:drawing>
          <wp:inline distT="0" distB="0" distL="0" distR="0">
            <wp:extent cx="1852295" cy="1329690"/>
            <wp:effectExtent l="0" t="0" r="0" b="381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52"/>
                    <a:stretch>
                      <a:fillRect/>
                    </a:stretch>
                  </pic:blipFill>
                  <pic:spPr>
                    <a:xfrm>
                      <a:off x="0" y="0"/>
                      <a:ext cx="1877360" cy="1347526"/>
                    </a:xfrm>
                    <a:prstGeom prst="rect">
                      <a:avLst/>
                    </a:prstGeom>
                  </pic:spPr>
                </pic:pic>
              </a:graphicData>
            </a:graphic>
          </wp:inline>
        </w:drawing>
      </w:r>
    </w:p>
    <w:p>
      <w:pPr>
        <w:adjustRightInd w:val="0"/>
        <w:snapToGrid w:val="0"/>
        <w:spacing w:line="360" w:lineRule="auto"/>
        <w:ind w:firstLine="480" w:firstLineChars="200"/>
        <w:contextualSpacing/>
        <w:jc w:val="left"/>
        <w:rPr>
          <w:rFonts w:eastAsia="宋体" w:cs="Times New Roman"/>
          <w:sz w:val="24"/>
        </w:rPr>
      </w:pPr>
    </w:p>
    <w:p>
      <w:pPr>
        <w:adjustRightInd w:val="0"/>
        <w:snapToGrid w:val="0"/>
        <w:spacing w:line="360" w:lineRule="auto"/>
        <w:ind w:firstLine="482" w:firstLineChars="200"/>
        <w:contextualSpacing/>
        <w:jc w:val="left"/>
        <w:outlineLvl w:val="1"/>
        <w:rPr>
          <w:rFonts w:cs="Times New Roman" w:eastAsiaTheme="minorEastAsia"/>
          <w:b/>
          <w:bCs/>
          <w:sz w:val="24"/>
        </w:rPr>
      </w:pPr>
      <w:r>
        <w:rPr>
          <w:rFonts w:cs="Times New Roman" w:eastAsiaTheme="minorEastAsia"/>
          <w:b/>
          <w:bCs/>
          <w:sz w:val="24"/>
        </w:rPr>
        <w:t>六、材料清单</w:t>
      </w:r>
    </w:p>
    <w:p>
      <w:pPr>
        <w:tabs>
          <w:tab w:val="left" w:pos="709"/>
        </w:tabs>
        <w:adjustRightInd w:val="0"/>
        <w:snapToGrid w:val="0"/>
        <w:spacing w:line="360" w:lineRule="auto"/>
        <w:ind w:firstLine="480" w:firstLineChars="200"/>
        <w:contextualSpacing/>
        <w:rPr>
          <w:rFonts w:eastAsia="宋体" w:cs="Times New Roman"/>
          <w:sz w:val="24"/>
        </w:rPr>
      </w:pPr>
      <w:r>
        <w:rPr>
          <w:rFonts w:eastAsia="宋体" w:cs="Times New Roman"/>
          <w:sz w:val="24"/>
        </w:rPr>
        <w:t>1、隐患排查治理的管理制度2、隐患排查治理记录3、隐患排查方案4、各类检查表5、一般隐患治理方案6、重大隐患治理方案7、重大隐患治理评估报告</w:t>
      </w:r>
    </w:p>
    <w:p>
      <w:pPr>
        <w:adjustRightInd w:val="0"/>
        <w:snapToGrid w:val="0"/>
        <w:spacing w:line="360" w:lineRule="auto"/>
        <w:ind w:firstLine="482" w:firstLineChars="200"/>
        <w:contextualSpacing/>
        <w:jc w:val="left"/>
        <w:outlineLvl w:val="1"/>
        <w:rPr>
          <w:rFonts w:cs="Times New Roman" w:eastAsiaTheme="minorEastAsia"/>
          <w:b/>
          <w:bCs/>
          <w:sz w:val="24"/>
        </w:rPr>
      </w:pPr>
      <w:r>
        <w:rPr>
          <w:rFonts w:cs="Times New Roman" w:eastAsiaTheme="minorEastAsia"/>
          <w:b/>
          <w:bCs/>
          <w:sz w:val="24"/>
        </w:rPr>
        <w:t>七、引用的法规和标准</w:t>
      </w:r>
    </w:p>
    <w:p>
      <w:pPr>
        <w:pStyle w:val="2"/>
        <w:spacing w:line="360" w:lineRule="auto"/>
        <w:ind w:firstLine="482" w:firstLineChars="200"/>
        <w:rPr>
          <w:b/>
          <w:bCs/>
          <w:sz w:val="24"/>
          <w:szCs w:val="24"/>
        </w:rPr>
      </w:pPr>
      <w:r>
        <w:rPr>
          <w:b/>
          <w:bCs/>
          <w:sz w:val="24"/>
          <w:szCs w:val="24"/>
          <w:shd w:val="clear" w:color="auto" w:fill="FFFFFF"/>
        </w:rPr>
        <w:t>安全生产事故隐患排查治理暂行规定（国家安监总局令第16号）</w:t>
      </w:r>
    </w:p>
    <w:p>
      <w:pPr>
        <w:adjustRightInd w:val="0"/>
        <w:snapToGrid w:val="0"/>
        <w:spacing w:line="360" w:lineRule="auto"/>
        <w:contextualSpacing/>
        <w:jc w:val="left"/>
        <w:rPr>
          <w:rFonts w:cs="Times New Roman" w:eastAsiaTheme="minorEastAsia"/>
          <w:sz w:val="24"/>
        </w:rPr>
      </w:pPr>
    </w:p>
    <w:p>
      <w:pPr>
        <w:widowControl/>
        <w:jc w:val="left"/>
        <w:rPr>
          <w:rFonts w:cs="Times New Roman" w:eastAsiaTheme="minorEastAsia"/>
          <w:b/>
          <w:bCs/>
          <w:sz w:val="24"/>
        </w:rPr>
      </w:pPr>
      <w:r>
        <w:rPr>
          <w:rFonts w:cs="Times New Roman" w:eastAsiaTheme="minorEastAsia"/>
          <w:b/>
          <w:bCs/>
          <w:sz w:val="24"/>
        </w:rPr>
        <w:br w:type="page"/>
      </w:r>
    </w:p>
    <w:p>
      <w:pPr>
        <w:adjustRightInd w:val="0"/>
        <w:snapToGrid w:val="0"/>
        <w:spacing w:line="360" w:lineRule="auto"/>
        <w:contextualSpacing/>
        <w:jc w:val="center"/>
        <w:outlineLvl w:val="0"/>
        <w:rPr>
          <w:rFonts w:eastAsia="黑体" w:cs="Times New Roman"/>
          <w:sz w:val="28"/>
          <w:szCs w:val="28"/>
        </w:rPr>
      </w:pPr>
      <w:bookmarkStart w:id="40" w:name="_Toc4811"/>
      <w:r>
        <w:rPr>
          <w:rFonts w:eastAsia="黑体" w:cs="Times New Roman"/>
          <w:sz w:val="28"/>
          <w:szCs w:val="28"/>
        </w:rPr>
        <w:t>第九章 风险辨识、管控与报告</w:t>
      </w:r>
      <w:bookmarkEnd w:id="40"/>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（企业落实安全生产主体责任检查要点20条第11条）</w:t>
      </w:r>
    </w:p>
    <w:p>
      <w:pPr>
        <w:adjustRightInd w:val="0"/>
        <w:snapToGrid w:val="0"/>
        <w:spacing w:line="360" w:lineRule="auto"/>
        <w:ind w:firstLine="482" w:firstLineChars="200"/>
        <w:contextualSpacing/>
        <w:jc w:val="left"/>
        <w:outlineLvl w:val="1"/>
        <w:rPr>
          <w:rFonts w:cs="Times New Roman" w:eastAsiaTheme="majorEastAsia"/>
          <w:b/>
          <w:bCs/>
          <w:sz w:val="24"/>
        </w:rPr>
      </w:pPr>
      <w:bookmarkStart w:id="41" w:name="_Toc14234"/>
      <w:bookmarkStart w:id="42" w:name="_Toc16542"/>
      <w:bookmarkStart w:id="43" w:name="_Toc26701"/>
      <w:r>
        <w:rPr>
          <w:rFonts w:cs="Times New Roman" w:eastAsiaTheme="majorEastAsia"/>
          <w:b/>
          <w:bCs/>
          <w:sz w:val="24"/>
        </w:rPr>
        <w:t>一、制度建设</w:t>
      </w:r>
      <w:bookmarkEnd w:id="41"/>
      <w:bookmarkEnd w:id="42"/>
      <w:bookmarkEnd w:id="43"/>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制定安全风险辨识管控制度；</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企业应当制定安全风险辨识管控制度，该制度包含以下内容：</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（1）确定符合本单位安全生产实际的辨识方法和程序。</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（2）明确分级管控职责分工及其责任制考核奖惩办法。</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（3）明确企业主要负责人对本单位安全风险辨识管控全面负责。</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（4）风险分级、分类管理要求。</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（5）风险报告要求。</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（6）风险公示要求。</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（7）对具有较大或以上危险因素的生产经营场所和有关设施设备，制定运行、巡检、维修、保养的要求。</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8）相关方风险管理要求：将生产经营项目、场所、设备发包或者出租的，依法签订的安全生产管理协议中应当明确双方安全风险辨识管控职责。两个以上企业在同一作业区域内进行生产经营活动，可能危及对方生产安全的，依法签订的安全生产管理协议中应当明确各自的安全风险辨识管控职责和管控措施。</w:t>
      </w:r>
      <w:bookmarkStart w:id="44" w:name="_Toc25302"/>
      <w:bookmarkStart w:id="45" w:name="_Toc2061"/>
      <w:bookmarkStart w:id="46" w:name="_Toc15447"/>
    </w:p>
    <w:bookmarkEnd w:id="44"/>
    <w:bookmarkEnd w:id="45"/>
    <w:bookmarkEnd w:id="46"/>
    <w:p>
      <w:pPr>
        <w:pStyle w:val="2"/>
        <w:adjustRightInd w:val="0"/>
        <w:snapToGrid w:val="0"/>
        <w:spacing w:after="0" w:line="360" w:lineRule="auto"/>
        <w:contextualSpacing/>
        <w:rPr>
          <w:rFonts w:eastAsiaTheme="minorEastAsia"/>
          <w:b/>
          <w:bCs/>
          <w:sz w:val="24"/>
          <w:szCs w:val="24"/>
        </w:rPr>
      </w:pPr>
      <w:r>
        <w:rPr>
          <w:rFonts w:hint="eastAsia" w:eastAsiaTheme="minorEastAsia"/>
          <w:b/>
          <w:bCs/>
          <w:sz w:val="24"/>
          <w:szCs w:val="24"/>
        </w:rPr>
        <w:t>释义：</w:t>
      </w:r>
    </w:p>
    <w:p>
      <w:pPr>
        <w:pStyle w:val="2"/>
        <w:adjustRightInd w:val="0"/>
        <w:snapToGrid w:val="0"/>
        <w:spacing w:after="0" w:line="360" w:lineRule="auto"/>
        <w:ind w:firstLine="480" w:firstLineChars="200"/>
        <w:contextualSpacing/>
        <w:rPr>
          <w:rFonts w:eastAsiaTheme="minorEastAsia"/>
          <w:sz w:val="24"/>
          <w:szCs w:val="24"/>
        </w:rPr>
      </w:pPr>
      <w:r>
        <w:rPr>
          <w:rFonts w:hint="eastAsia" w:asciiTheme="minorEastAsia" w:hAnsiTheme="minorEastAsia" w:eastAsiaTheme="minorEastAsia"/>
          <w:sz w:val="24"/>
          <w:szCs w:val="24"/>
        </w:rPr>
        <w:t>①</w:t>
      </w:r>
      <w:r>
        <w:rPr>
          <w:rFonts w:hint="eastAsia" w:eastAsiaTheme="minorEastAsia"/>
          <w:sz w:val="24"/>
          <w:szCs w:val="24"/>
        </w:rPr>
        <w:t>《江苏省工业企业安全生产风险报告规定》（省政府令第140号）第七条规定：企业应当制定安全风险辨识管控制度，确定符合本单位安全生产实际的辨识方法和程序，明确分级管控职责分工及其责任制考核奖惩办法。</w:t>
      </w:r>
    </w:p>
    <w:p>
      <w:pPr>
        <w:pStyle w:val="2"/>
        <w:adjustRightInd w:val="0"/>
        <w:snapToGrid w:val="0"/>
        <w:spacing w:after="0" w:line="360" w:lineRule="auto"/>
        <w:ind w:firstLine="480" w:firstLineChars="200"/>
        <w:contextualSpacing/>
        <w:rPr>
          <w:rFonts w:eastAsiaTheme="minorEastAsia"/>
          <w:sz w:val="24"/>
          <w:szCs w:val="24"/>
        </w:rPr>
      </w:pPr>
      <w:r>
        <w:rPr>
          <w:rFonts w:hint="eastAsia" w:asciiTheme="minorEastAsia" w:hAnsiTheme="minorEastAsia" w:eastAsiaTheme="minorEastAsia"/>
          <w:sz w:val="24"/>
          <w:szCs w:val="24"/>
        </w:rPr>
        <w:t>②</w:t>
      </w:r>
      <w:r>
        <w:rPr>
          <w:rFonts w:hint="eastAsia" w:eastAsiaTheme="minorEastAsia"/>
          <w:sz w:val="24"/>
          <w:szCs w:val="24"/>
        </w:rPr>
        <w:t>安全风险辨识管控制度至少应包含以下内容：</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6"/>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113" w:type="dxa"/>
            <w:gridSpan w:val="2"/>
          </w:tcPr>
          <w:p>
            <w:pPr>
              <w:pStyle w:val="2"/>
              <w:adjustRightInd w:val="0"/>
              <w:snapToGrid w:val="0"/>
              <w:spacing w:after="0" w:line="400" w:lineRule="exact"/>
              <w:contextualSpacing/>
              <w:jc w:val="center"/>
              <w:rPr>
                <w:rFonts w:eastAsiaTheme="minorEastAsia"/>
                <w:sz w:val="21"/>
                <w:szCs w:val="21"/>
              </w:rPr>
            </w:pPr>
            <w:r>
              <w:rPr>
                <w:rFonts w:hint="eastAsia" w:eastAsiaTheme="minorEastAsia"/>
                <w:sz w:val="21"/>
                <w:szCs w:val="21"/>
              </w:rPr>
              <w:t>安全风险辨识管控制度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0" w:hRule="atLeast"/>
        </w:trPr>
        <w:tc>
          <w:tcPr>
            <w:tcW w:w="3056" w:type="dxa"/>
          </w:tcPr>
          <w:p>
            <w:pPr>
              <w:pStyle w:val="2"/>
              <w:adjustRightInd w:val="0"/>
              <w:snapToGrid w:val="0"/>
              <w:spacing w:after="0" w:line="380" w:lineRule="exact"/>
              <w:contextualSpacing/>
              <w:rPr>
                <w:rFonts w:eastAsiaTheme="minorEastAsia"/>
                <w:sz w:val="21"/>
                <w:szCs w:val="21"/>
              </w:rPr>
            </w:pPr>
            <w:r>
              <w:rPr>
                <w:rFonts w:hint="eastAsia" w:eastAsiaTheme="minorEastAsia"/>
                <w:sz w:val="21"/>
                <w:szCs w:val="21"/>
              </w:rPr>
              <w:t>1目的</w:t>
            </w:r>
          </w:p>
          <w:p>
            <w:pPr>
              <w:pStyle w:val="2"/>
              <w:adjustRightInd w:val="0"/>
              <w:snapToGrid w:val="0"/>
              <w:spacing w:after="0" w:line="380" w:lineRule="exact"/>
              <w:contextualSpacing/>
              <w:rPr>
                <w:rFonts w:eastAsiaTheme="minorEastAsia"/>
                <w:sz w:val="21"/>
                <w:szCs w:val="21"/>
              </w:rPr>
            </w:pPr>
            <w:r>
              <w:rPr>
                <w:rFonts w:hint="eastAsia" w:eastAsiaTheme="minorEastAsia"/>
                <w:sz w:val="21"/>
                <w:szCs w:val="21"/>
              </w:rPr>
              <w:t>2职责</w:t>
            </w:r>
          </w:p>
          <w:p>
            <w:pPr>
              <w:pStyle w:val="2"/>
              <w:adjustRightInd w:val="0"/>
              <w:snapToGrid w:val="0"/>
              <w:spacing w:after="0" w:line="380" w:lineRule="exact"/>
              <w:contextualSpacing/>
              <w:rPr>
                <w:rFonts w:eastAsiaTheme="minorEastAsia"/>
                <w:sz w:val="21"/>
                <w:szCs w:val="21"/>
              </w:rPr>
            </w:pPr>
            <w:r>
              <w:rPr>
                <w:rFonts w:eastAsiaTheme="minorEastAsia"/>
                <w:sz w:val="21"/>
                <w:szCs w:val="21"/>
              </w:rPr>
              <w:t>3</w:t>
            </w:r>
            <w:r>
              <w:rPr>
                <w:rFonts w:hint="eastAsia" w:eastAsiaTheme="minorEastAsia"/>
                <w:sz w:val="21"/>
                <w:szCs w:val="21"/>
              </w:rPr>
              <w:t>定义</w:t>
            </w:r>
          </w:p>
          <w:p>
            <w:pPr>
              <w:pStyle w:val="2"/>
              <w:adjustRightInd w:val="0"/>
              <w:snapToGrid w:val="0"/>
              <w:spacing w:after="0" w:line="380" w:lineRule="exact"/>
              <w:contextualSpacing/>
              <w:rPr>
                <w:rFonts w:eastAsiaTheme="minorEastAsia"/>
                <w:sz w:val="21"/>
                <w:szCs w:val="21"/>
              </w:rPr>
            </w:pPr>
            <w:r>
              <w:rPr>
                <w:rFonts w:eastAsiaTheme="minorEastAsia"/>
                <w:sz w:val="21"/>
                <w:szCs w:val="21"/>
              </w:rPr>
              <w:t>4</w:t>
            </w:r>
            <w:r>
              <w:rPr>
                <w:rFonts w:hint="eastAsia" w:eastAsiaTheme="minorEastAsia"/>
                <w:sz w:val="21"/>
                <w:szCs w:val="21"/>
              </w:rPr>
              <w:t>流程</w:t>
            </w:r>
          </w:p>
          <w:p>
            <w:pPr>
              <w:pStyle w:val="2"/>
              <w:adjustRightInd w:val="0"/>
              <w:snapToGrid w:val="0"/>
              <w:spacing w:after="0" w:line="380" w:lineRule="exact"/>
              <w:contextualSpacing/>
              <w:rPr>
                <w:rFonts w:eastAsiaTheme="minorEastAsia"/>
                <w:sz w:val="21"/>
                <w:szCs w:val="21"/>
              </w:rPr>
            </w:pPr>
            <w:r>
              <w:rPr>
                <w:rFonts w:eastAsiaTheme="minorEastAsia"/>
                <w:sz w:val="21"/>
                <w:szCs w:val="21"/>
              </w:rPr>
              <w:t>5</w:t>
            </w:r>
            <w:r>
              <w:rPr>
                <w:rFonts w:hint="eastAsia" w:eastAsiaTheme="minorEastAsia"/>
                <w:sz w:val="21"/>
                <w:szCs w:val="21"/>
              </w:rPr>
              <w:t>具体要求</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5.1</w:t>
            </w:r>
            <w:r>
              <w:rPr>
                <w:rFonts w:hint="eastAsia" w:eastAsiaTheme="minorEastAsia"/>
                <w:sz w:val="21"/>
                <w:szCs w:val="21"/>
              </w:rPr>
              <w:t>工作计划</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5.2</w:t>
            </w:r>
            <w:r>
              <w:rPr>
                <w:rFonts w:hint="eastAsia" w:eastAsiaTheme="minorEastAsia"/>
                <w:sz w:val="21"/>
                <w:szCs w:val="21"/>
              </w:rPr>
              <w:t>组织要求</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5.3</w:t>
            </w:r>
            <w:r>
              <w:rPr>
                <w:rFonts w:hint="eastAsia" w:eastAsiaTheme="minorEastAsia"/>
                <w:sz w:val="21"/>
                <w:szCs w:val="21"/>
              </w:rPr>
              <w:t>辨识范围</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5.4</w:t>
            </w:r>
            <w:r>
              <w:rPr>
                <w:rFonts w:hint="eastAsia" w:eastAsiaTheme="minorEastAsia"/>
                <w:sz w:val="21"/>
                <w:szCs w:val="21"/>
              </w:rPr>
              <w:t>辨识方法</w:t>
            </w:r>
          </w:p>
        </w:tc>
        <w:tc>
          <w:tcPr>
            <w:tcW w:w="3057" w:type="dxa"/>
          </w:tcPr>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5.5</w:t>
            </w:r>
            <w:r>
              <w:rPr>
                <w:rFonts w:hint="eastAsia" w:eastAsiaTheme="minorEastAsia"/>
                <w:sz w:val="21"/>
                <w:szCs w:val="21"/>
              </w:rPr>
              <w:t>风险管控</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5.6</w:t>
            </w:r>
            <w:r>
              <w:rPr>
                <w:rFonts w:hint="eastAsia" w:eastAsiaTheme="minorEastAsia"/>
                <w:sz w:val="21"/>
                <w:szCs w:val="21"/>
              </w:rPr>
              <w:t>风险申报</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5.7</w:t>
            </w:r>
            <w:r>
              <w:rPr>
                <w:rFonts w:hint="eastAsia" w:eastAsiaTheme="minorEastAsia"/>
                <w:sz w:val="21"/>
                <w:szCs w:val="21"/>
              </w:rPr>
              <w:t>风险公示</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5.8</w:t>
            </w:r>
            <w:r>
              <w:rPr>
                <w:rFonts w:hint="eastAsia" w:eastAsiaTheme="minorEastAsia"/>
                <w:sz w:val="21"/>
                <w:szCs w:val="21"/>
              </w:rPr>
              <w:t>风险更新</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5.9</w:t>
            </w:r>
            <w:r>
              <w:rPr>
                <w:rFonts w:hint="eastAsia" w:eastAsiaTheme="minorEastAsia"/>
                <w:sz w:val="21"/>
                <w:szCs w:val="21"/>
              </w:rPr>
              <w:t>风险检查（常安码）</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5.10</w:t>
            </w:r>
            <w:r>
              <w:rPr>
                <w:rFonts w:hint="eastAsia" w:eastAsiaTheme="minorEastAsia"/>
                <w:sz w:val="21"/>
                <w:szCs w:val="21"/>
              </w:rPr>
              <w:t>相关方风险管控</w:t>
            </w:r>
          </w:p>
          <w:p>
            <w:pPr>
              <w:pStyle w:val="2"/>
              <w:adjustRightInd w:val="0"/>
              <w:snapToGrid w:val="0"/>
              <w:spacing w:after="0" w:line="380" w:lineRule="exact"/>
              <w:ind w:firstLine="420" w:firstLineChars="200"/>
              <w:contextualSpacing/>
              <w:rPr>
                <w:rFonts w:eastAsiaTheme="minorEastAsia"/>
                <w:sz w:val="21"/>
                <w:szCs w:val="21"/>
              </w:rPr>
            </w:pPr>
            <w:r>
              <w:rPr>
                <w:rFonts w:eastAsiaTheme="minorEastAsia"/>
                <w:sz w:val="21"/>
                <w:szCs w:val="21"/>
              </w:rPr>
              <w:t>5.11</w:t>
            </w:r>
            <w:r>
              <w:rPr>
                <w:rFonts w:hint="eastAsia" w:eastAsiaTheme="minorEastAsia"/>
                <w:sz w:val="21"/>
                <w:szCs w:val="21"/>
              </w:rPr>
              <w:t>风险档案</w:t>
            </w:r>
          </w:p>
          <w:p>
            <w:pPr>
              <w:pStyle w:val="2"/>
              <w:adjustRightInd w:val="0"/>
              <w:snapToGrid w:val="0"/>
              <w:spacing w:after="0" w:line="380" w:lineRule="exact"/>
              <w:ind w:firstLine="420" w:firstLineChars="200"/>
              <w:contextualSpacing/>
              <w:rPr>
                <w:rFonts w:eastAsiaTheme="minorEastAsia"/>
                <w:sz w:val="21"/>
                <w:szCs w:val="21"/>
              </w:rPr>
            </w:pPr>
            <w:r>
              <w:rPr>
                <w:rFonts w:hint="eastAsia" w:eastAsiaTheme="minorEastAsia"/>
                <w:sz w:val="21"/>
                <w:szCs w:val="21"/>
              </w:rPr>
              <w:t>5</w:t>
            </w:r>
            <w:r>
              <w:rPr>
                <w:rFonts w:eastAsiaTheme="minorEastAsia"/>
                <w:sz w:val="21"/>
                <w:szCs w:val="21"/>
              </w:rPr>
              <w:t>.12</w:t>
            </w:r>
            <w:r>
              <w:rPr>
                <w:rFonts w:hint="eastAsia" w:eastAsiaTheme="minorEastAsia"/>
                <w:sz w:val="21"/>
                <w:szCs w:val="21"/>
              </w:rPr>
              <w:t>风险培训</w:t>
            </w:r>
          </w:p>
          <w:p>
            <w:pPr>
              <w:pStyle w:val="2"/>
              <w:adjustRightInd w:val="0"/>
              <w:snapToGrid w:val="0"/>
              <w:spacing w:after="0" w:line="380" w:lineRule="exact"/>
              <w:contextualSpacing/>
              <w:rPr>
                <w:rFonts w:eastAsiaTheme="minorEastAsia"/>
                <w:sz w:val="21"/>
                <w:szCs w:val="21"/>
              </w:rPr>
            </w:pPr>
            <w:r>
              <w:rPr>
                <w:rFonts w:eastAsiaTheme="minorEastAsia"/>
                <w:sz w:val="21"/>
                <w:szCs w:val="21"/>
              </w:rPr>
              <w:t>6</w:t>
            </w:r>
            <w:r>
              <w:rPr>
                <w:rFonts w:hint="eastAsia" w:eastAsiaTheme="minorEastAsia"/>
                <w:sz w:val="21"/>
                <w:szCs w:val="21"/>
              </w:rPr>
              <w:t>奖惩</w:t>
            </w:r>
          </w:p>
        </w:tc>
      </w:tr>
    </w:tbl>
    <w:p>
      <w:pPr>
        <w:pStyle w:val="2"/>
        <w:adjustRightInd w:val="0"/>
        <w:snapToGrid w:val="0"/>
        <w:spacing w:after="0" w:line="360" w:lineRule="auto"/>
        <w:contextualSpacing/>
        <w:jc w:val="center"/>
        <w:rPr>
          <w:rFonts w:eastAsiaTheme="minorEastAsia"/>
          <w:sz w:val="21"/>
          <w:szCs w:val="21"/>
        </w:rPr>
      </w:pPr>
      <w:r>
        <w:rPr>
          <w:rFonts w:hint="eastAsia" w:eastAsiaTheme="minorEastAsia"/>
          <w:sz w:val="21"/>
          <w:szCs w:val="21"/>
        </w:rPr>
        <w:t>图9</w:t>
      </w:r>
      <w:r>
        <w:rPr>
          <w:rFonts w:eastAsiaTheme="minorEastAsia"/>
          <w:sz w:val="21"/>
          <w:szCs w:val="21"/>
        </w:rPr>
        <w:t>.1</w:t>
      </w:r>
      <w:r>
        <w:rPr>
          <w:rFonts w:hint="eastAsia" w:eastAsiaTheme="minorEastAsia"/>
          <w:sz w:val="21"/>
          <w:szCs w:val="21"/>
        </w:rPr>
        <w:t>-</w:t>
      </w:r>
      <w:r>
        <w:rPr>
          <w:rFonts w:eastAsiaTheme="minorEastAsia"/>
          <w:sz w:val="21"/>
          <w:szCs w:val="21"/>
        </w:rPr>
        <w:t>1</w:t>
      </w:r>
      <w:r>
        <w:rPr>
          <w:rFonts w:hint="eastAsia" w:eastAsiaTheme="minorEastAsia"/>
          <w:sz w:val="21"/>
          <w:szCs w:val="21"/>
        </w:rPr>
        <w:t>安全风险辨识管控制度要求</w:t>
      </w:r>
    </w:p>
    <w:p>
      <w:pPr>
        <w:adjustRightInd w:val="0"/>
        <w:snapToGrid w:val="0"/>
        <w:spacing w:line="360" w:lineRule="auto"/>
        <w:ind w:firstLine="482" w:firstLineChars="200"/>
        <w:contextualSpacing/>
        <w:jc w:val="left"/>
        <w:outlineLvl w:val="1"/>
        <w:rPr>
          <w:rFonts w:cs="Times New Roman" w:eastAsiaTheme="minorEastAsia"/>
          <w:b/>
          <w:bCs/>
          <w:sz w:val="24"/>
        </w:rPr>
      </w:pPr>
      <w:r>
        <w:rPr>
          <w:rFonts w:cs="Times New Roman" w:eastAsiaTheme="minorEastAsia"/>
          <w:b/>
          <w:bCs/>
          <w:sz w:val="24"/>
        </w:rPr>
        <w:t>二、风险辨识与报告</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企业应当对风险进行辨识、评价、登记建档，并按规定报告；（纳入可视化管理）</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1.按相关规定对本单位的生产设施或场所进行危险源辨识和风险评价、分级。</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企业应当建立安全风险管控清单并持续更新。安全风险管控清单应当列明安全风险名称、所处位置（场所、部位、环节）、可能导致的事故类型及其后果、主要管控措施、管控责任部门和责任人。</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有下列情形之一的，企业应当及时组织开展针对性的安全风险辨识，确定或者调整安全风险等级，更新安全风险管控清单：（1）生产工艺流程、主要设备设施、主要生产物料发生改变的；（2）有新建、改建、扩建项目的；（3）行业领域内发生较大以上生产安全事故或者典型生产安全事故，对安全风险有新认知的；（4）本企业发生生产安全事故的；（5）安全风险目录修订调整涉及本企业的；（6）法律、法规、规章和国家标准、行业标准、地方标准对安全风险辨识管控有新要求的。</w:t>
      </w:r>
    </w:p>
    <w:p>
      <w:pPr>
        <w:pStyle w:val="2"/>
        <w:rPr>
          <w:rFonts w:eastAsiaTheme="minorEastAsia"/>
          <w:b/>
          <w:bCs/>
          <w:sz w:val="24"/>
          <w:szCs w:val="24"/>
        </w:rPr>
      </w:pPr>
      <w:r>
        <w:rPr>
          <w:rFonts w:hint="eastAsia" w:eastAsiaTheme="minorEastAsia"/>
          <w:b/>
          <w:bCs/>
          <w:sz w:val="24"/>
          <w:szCs w:val="24"/>
        </w:rPr>
        <w:t>释义：</w:t>
      </w:r>
    </w:p>
    <w:p>
      <w:pPr>
        <w:pStyle w:val="2"/>
        <w:rPr>
          <w:rFonts w:asciiTheme="minorEastAsia" w:hAnsiTheme="minorEastAsia" w:eastAsiaTheme="minorEastAsia"/>
          <w:sz w:val="24"/>
          <w:szCs w:val="24"/>
        </w:rPr>
      </w:pPr>
      <w:r>
        <w:rPr>
          <w:rFonts w:hint="eastAsia" w:asciiTheme="minorEastAsia" w:hAnsiTheme="minorEastAsia" w:eastAsiaTheme="minorEastAsia"/>
          <w:sz w:val="24"/>
          <w:szCs w:val="24"/>
        </w:rPr>
        <w:t>风险管控清单模板见表9</w:t>
      </w:r>
      <w:r>
        <w:rPr>
          <w:rFonts w:asciiTheme="minorEastAsia" w:hAnsiTheme="minorEastAsia" w:eastAsiaTheme="minorEastAsia"/>
          <w:sz w:val="24"/>
          <w:szCs w:val="24"/>
        </w:rPr>
        <w:t>.2</w:t>
      </w:r>
      <w:r>
        <w:rPr>
          <w:rFonts w:hint="eastAsia" w:asciiTheme="minorEastAsia" w:hAnsiTheme="minorEastAsia" w:eastAsiaTheme="minorEastAsia"/>
          <w:sz w:val="24"/>
          <w:szCs w:val="24"/>
        </w:rPr>
        <w:t>-</w:t>
      </w:r>
      <w:r>
        <w:rPr>
          <w:rFonts w:asciiTheme="minorEastAsia" w:hAnsiTheme="minorEastAsia" w:eastAsiaTheme="minorEastAsia"/>
          <w:sz w:val="24"/>
          <w:szCs w:val="24"/>
        </w:rPr>
        <w:t>1</w:t>
      </w:r>
      <w:r>
        <w:rPr>
          <w:rFonts w:hint="eastAsia" w:asciiTheme="minorEastAsia" w:hAnsiTheme="minorEastAsia" w:eastAsiaTheme="minorEastAsia"/>
          <w:sz w:val="24"/>
          <w:szCs w:val="24"/>
        </w:rPr>
        <w:t>。</w:t>
      </w:r>
    </w:p>
    <w:p>
      <w:pPr>
        <w:pStyle w:val="2"/>
        <w:rPr>
          <w:rFonts w:eastAsiaTheme="minorEastAsia"/>
          <w:sz w:val="24"/>
          <w:szCs w:val="24"/>
        </w:rPr>
        <w:sectPr>
          <w:pgSz w:w="8391" w:h="11906"/>
          <w:pgMar w:top="1418" w:right="1134" w:bottom="1077" w:left="1134" w:header="851" w:footer="992" w:gutter="0"/>
          <w:pgNumType w:start="1"/>
          <w:cols w:space="425" w:num="1"/>
          <w:docGrid w:linePitch="435" w:charSpace="0"/>
        </w:sectPr>
      </w:pPr>
    </w:p>
    <w:p>
      <w:pPr>
        <w:pStyle w:val="2"/>
        <w:jc w:val="center"/>
        <w:rPr>
          <w:sz w:val="21"/>
          <w:szCs w:val="21"/>
        </w:rPr>
      </w:pPr>
      <w:r>
        <w:rPr>
          <w:rFonts w:hint="eastAsia"/>
          <w:sz w:val="21"/>
          <w:szCs w:val="21"/>
        </w:rPr>
        <w:t>表9</w:t>
      </w:r>
      <w:r>
        <w:rPr>
          <w:sz w:val="21"/>
          <w:szCs w:val="21"/>
        </w:rPr>
        <w:t>.2</w:t>
      </w:r>
      <w:r>
        <w:rPr>
          <w:rFonts w:hint="eastAsia"/>
          <w:sz w:val="21"/>
          <w:szCs w:val="21"/>
        </w:rPr>
        <w:t>-</w:t>
      </w:r>
      <w:r>
        <w:rPr>
          <w:sz w:val="21"/>
          <w:szCs w:val="21"/>
        </w:rPr>
        <w:t>1</w:t>
      </w:r>
      <w:r>
        <w:rPr>
          <w:rFonts w:hint="eastAsia"/>
          <w:sz w:val="21"/>
          <w:szCs w:val="21"/>
        </w:rPr>
        <w:t>风险管控清单（示例）</w:t>
      </w:r>
    </w:p>
    <w:tbl>
      <w:tblPr>
        <w:tblStyle w:val="16"/>
        <w:tblpPr w:leftFromText="181" w:rightFromText="181" w:vertAnchor="text" w:horzAnchor="page"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5"/>
        <w:gridCol w:w="497"/>
        <w:gridCol w:w="408"/>
        <w:gridCol w:w="409"/>
        <w:gridCol w:w="1493"/>
        <w:gridCol w:w="576"/>
        <w:gridCol w:w="506"/>
        <w:gridCol w:w="530"/>
        <w:gridCol w:w="498"/>
        <w:gridCol w:w="500"/>
        <w:gridCol w:w="409"/>
        <w:gridCol w:w="1726"/>
        <w:gridCol w:w="576"/>
        <w:gridCol w:w="756"/>
        <w:gridCol w:w="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274"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序号</w:t>
            </w:r>
          </w:p>
        </w:tc>
        <w:tc>
          <w:tcPr>
            <w:tcW w:w="275"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场所</w:t>
            </w:r>
          </w:p>
        </w:tc>
        <w:tc>
          <w:tcPr>
            <w:tcW w:w="230"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环节</w:t>
            </w:r>
          </w:p>
        </w:tc>
        <w:tc>
          <w:tcPr>
            <w:tcW w:w="230"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部位</w:t>
            </w:r>
          </w:p>
        </w:tc>
        <w:tc>
          <w:tcPr>
            <w:tcW w:w="780"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危险源</w:t>
            </w:r>
          </w:p>
        </w:tc>
        <w:tc>
          <w:tcPr>
            <w:tcW w:w="275"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事故类别</w:t>
            </w:r>
          </w:p>
        </w:tc>
        <w:tc>
          <w:tcPr>
            <w:tcW w:w="1121" w:type="pct"/>
            <w:gridSpan w:val="4"/>
            <w:shd w:val="clear" w:color="auto" w:fill="auto"/>
            <w:noWrap/>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风险评价</w:t>
            </w:r>
          </w:p>
        </w:tc>
        <w:tc>
          <w:tcPr>
            <w:tcW w:w="230"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风险等级</w:t>
            </w:r>
          </w:p>
        </w:tc>
        <w:tc>
          <w:tcPr>
            <w:tcW w:w="898"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风险管控措施</w:t>
            </w:r>
          </w:p>
        </w:tc>
        <w:tc>
          <w:tcPr>
            <w:tcW w:w="688" w:type="pct"/>
            <w:gridSpan w:val="3"/>
            <w:shd w:val="clear" w:color="auto" w:fill="auto"/>
            <w:noWrap/>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管控主体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74"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75"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3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3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78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75"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1121" w:type="pct"/>
            <w:gridSpan w:val="4"/>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LEC法</w:t>
            </w:r>
          </w:p>
        </w:tc>
        <w:tc>
          <w:tcPr>
            <w:tcW w:w="23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898"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30"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管控层级</w:t>
            </w:r>
          </w:p>
        </w:tc>
        <w:tc>
          <w:tcPr>
            <w:tcW w:w="229"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责任部门</w:t>
            </w:r>
          </w:p>
        </w:tc>
        <w:tc>
          <w:tcPr>
            <w:tcW w:w="230" w:type="pct"/>
            <w:vMerge w:val="restar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责任人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274"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75"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3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3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78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75"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79" w:type="pc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L</w:t>
            </w:r>
          </w:p>
        </w:tc>
        <w:tc>
          <w:tcPr>
            <w:tcW w:w="291" w:type="pc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E</w:t>
            </w:r>
          </w:p>
        </w:tc>
        <w:tc>
          <w:tcPr>
            <w:tcW w:w="275" w:type="pc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C</w:t>
            </w:r>
          </w:p>
        </w:tc>
        <w:tc>
          <w:tcPr>
            <w:tcW w:w="275" w:type="pct"/>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D</w:t>
            </w:r>
          </w:p>
        </w:tc>
        <w:tc>
          <w:tcPr>
            <w:tcW w:w="23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898"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3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29"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c>
          <w:tcPr>
            <w:tcW w:w="230" w:type="pct"/>
            <w:vMerge w:val="continue"/>
            <w:shd w:val="clear" w:color="auto" w:fill="auto"/>
            <w:vAlign w:val="center"/>
          </w:tcPr>
          <w:p>
            <w:pPr>
              <w:widowControl/>
              <w:adjustRightInd w:val="0"/>
              <w:snapToGrid w:val="0"/>
              <w:contextualSpacing/>
              <w:jc w:val="center"/>
              <w:rPr>
                <w:rFonts w:cs="Times New Roman" w:eastAsiaTheme="minorEastAsia"/>
                <w:b/>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5000" w:type="pct"/>
            <w:gridSpan w:val="15"/>
            <w:shd w:val="clear" w:color="auto" w:fill="auto"/>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b/>
                <w:bCs/>
                <w:kern w:val="0"/>
                <w:sz w:val="18"/>
                <w:szCs w:val="18"/>
              </w:rPr>
              <w:t>生产作业活动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1</w:t>
            </w:r>
          </w:p>
        </w:tc>
        <w:tc>
          <w:tcPr>
            <w:tcW w:w="275"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码头</w:t>
            </w:r>
          </w:p>
        </w:tc>
        <w:tc>
          <w:tcPr>
            <w:tcW w:w="230" w:type="pct"/>
            <w:shd w:val="clear" w:color="auto" w:fill="auto"/>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吊运</w:t>
            </w:r>
          </w:p>
        </w:tc>
        <w:tc>
          <w:tcPr>
            <w:tcW w:w="23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起重设备倾覆</w:t>
            </w:r>
          </w:p>
        </w:tc>
        <w:tc>
          <w:tcPr>
            <w:tcW w:w="78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码头吊</w:t>
            </w:r>
          </w:p>
        </w:tc>
        <w:tc>
          <w:tcPr>
            <w:tcW w:w="275"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起重伤害</w:t>
            </w:r>
          </w:p>
        </w:tc>
        <w:tc>
          <w:tcPr>
            <w:tcW w:w="279"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6</w:t>
            </w:r>
          </w:p>
        </w:tc>
        <w:tc>
          <w:tcPr>
            <w:tcW w:w="291"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1</w:t>
            </w:r>
          </w:p>
        </w:tc>
        <w:tc>
          <w:tcPr>
            <w:tcW w:w="275"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40</w:t>
            </w:r>
          </w:p>
        </w:tc>
        <w:tc>
          <w:tcPr>
            <w:tcW w:w="275"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240</w:t>
            </w:r>
          </w:p>
        </w:tc>
        <w:tc>
          <w:tcPr>
            <w:tcW w:w="23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较大风险</w:t>
            </w:r>
          </w:p>
        </w:tc>
        <w:tc>
          <w:tcPr>
            <w:tcW w:w="898" w:type="pct"/>
            <w:shd w:val="clear" w:color="auto" w:fill="auto"/>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工程技术措施：起重机械的安装必须由具备资质的专业队伍安装，安装完毕后经有关部门检测及合格后方可投入使用；司机必须持证上岗，操作时必须严格按照操作规程操作，不准违章作业；及时掌握天气情况，设备使用完需对设备进行装铁鞋、夹轨器、防风绳等进行固定，确保设备在遇到大风情况下能安全牢固；设备管理人员及操作时机应对设备、走行线路、各限位器、端头车档等进行检查，确保各安全设施安全有效。</w:t>
            </w:r>
          </w:p>
          <w:p>
            <w:pPr>
              <w:adjustRightInd w:val="0"/>
              <w:snapToGrid w:val="0"/>
              <w:contextualSpacing/>
              <w:jc w:val="left"/>
              <w:rPr>
                <w:rFonts w:cs="Times New Roman" w:eastAsiaTheme="minorEastAsia"/>
                <w:sz w:val="18"/>
                <w:szCs w:val="18"/>
              </w:rPr>
            </w:pPr>
            <w:r>
              <w:rPr>
                <w:rFonts w:cs="Times New Roman" w:eastAsiaTheme="minorEastAsia"/>
                <w:sz w:val="18"/>
                <w:szCs w:val="18"/>
              </w:rPr>
              <w:t>现场管理措施：制定安全管理制度及岗位安全操作规程；现场设置安全警示标志；检维修做好相关审批手续和监护。</w:t>
            </w:r>
          </w:p>
          <w:p>
            <w:pPr>
              <w:adjustRightInd w:val="0"/>
              <w:snapToGrid w:val="0"/>
              <w:contextualSpacing/>
              <w:jc w:val="left"/>
              <w:rPr>
                <w:rFonts w:cs="Times New Roman" w:eastAsiaTheme="minorEastAsia"/>
                <w:sz w:val="18"/>
                <w:szCs w:val="18"/>
              </w:rPr>
            </w:pPr>
            <w:r>
              <w:rPr>
                <w:rFonts w:cs="Times New Roman" w:eastAsiaTheme="minorEastAsia"/>
                <w:sz w:val="18"/>
                <w:szCs w:val="18"/>
              </w:rPr>
              <w:t>培训教育措施：定期对相关人员进行码头吊相关安全知识教育培训。</w:t>
            </w:r>
          </w:p>
          <w:p>
            <w:pPr>
              <w:adjustRightInd w:val="0"/>
              <w:snapToGrid w:val="0"/>
              <w:contextualSpacing/>
              <w:jc w:val="left"/>
              <w:rPr>
                <w:rFonts w:cs="Times New Roman" w:eastAsiaTheme="minorEastAsia"/>
                <w:sz w:val="18"/>
                <w:szCs w:val="18"/>
              </w:rPr>
            </w:pPr>
            <w:r>
              <w:rPr>
                <w:rFonts w:cs="Times New Roman" w:eastAsiaTheme="minorEastAsia"/>
                <w:sz w:val="18"/>
                <w:szCs w:val="18"/>
              </w:rPr>
              <w:t>个体防护措施：工作帽、工作服、工作鞋等。</w:t>
            </w:r>
          </w:p>
          <w:p>
            <w:pPr>
              <w:adjustRightInd w:val="0"/>
              <w:snapToGrid w:val="0"/>
              <w:contextualSpacing/>
              <w:jc w:val="left"/>
              <w:rPr>
                <w:rFonts w:cs="Times New Roman" w:eastAsiaTheme="minorEastAsia"/>
                <w:sz w:val="18"/>
                <w:szCs w:val="18"/>
              </w:rPr>
            </w:pPr>
            <w:r>
              <w:rPr>
                <w:rFonts w:cs="Times New Roman" w:eastAsiaTheme="minorEastAsia"/>
                <w:sz w:val="18"/>
                <w:szCs w:val="18"/>
              </w:rPr>
              <w:t>应急处置措施：发生事故紧急疏散人群，对受伤人员进行现场处理。</w:t>
            </w:r>
          </w:p>
        </w:tc>
        <w:tc>
          <w:tcPr>
            <w:tcW w:w="230" w:type="pct"/>
            <w:shd w:val="clear" w:color="auto" w:fill="auto"/>
            <w:noWrap/>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公司</w:t>
            </w:r>
          </w:p>
        </w:tc>
        <w:tc>
          <w:tcPr>
            <w:tcW w:w="229" w:type="pct"/>
            <w:shd w:val="clear" w:color="auto" w:fill="auto"/>
            <w:noWrap/>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生产部</w:t>
            </w:r>
          </w:p>
        </w:tc>
        <w:tc>
          <w:tcPr>
            <w:tcW w:w="23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赵XX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2</w:t>
            </w:r>
          </w:p>
        </w:tc>
        <w:tc>
          <w:tcPr>
            <w:tcW w:w="275"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生产车间</w:t>
            </w:r>
          </w:p>
        </w:tc>
        <w:tc>
          <w:tcPr>
            <w:tcW w:w="230" w:type="pct"/>
            <w:shd w:val="clear" w:color="auto" w:fill="auto"/>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带式输送</w:t>
            </w:r>
          </w:p>
        </w:tc>
        <w:tc>
          <w:tcPr>
            <w:tcW w:w="23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带式输送机传动部位卷入人员</w:t>
            </w:r>
          </w:p>
        </w:tc>
        <w:tc>
          <w:tcPr>
            <w:tcW w:w="78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带式输送机</w:t>
            </w:r>
          </w:p>
        </w:tc>
        <w:tc>
          <w:tcPr>
            <w:tcW w:w="275"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机械伤害</w:t>
            </w:r>
          </w:p>
        </w:tc>
        <w:tc>
          <w:tcPr>
            <w:tcW w:w="279"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1</w:t>
            </w:r>
          </w:p>
        </w:tc>
        <w:tc>
          <w:tcPr>
            <w:tcW w:w="291"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6</w:t>
            </w:r>
          </w:p>
        </w:tc>
        <w:tc>
          <w:tcPr>
            <w:tcW w:w="275"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15</w:t>
            </w:r>
          </w:p>
        </w:tc>
        <w:tc>
          <w:tcPr>
            <w:tcW w:w="275"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90</w:t>
            </w:r>
          </w:p>
        </w:tc>
        <w:tc>
          <w:tcPr>
            <w:tcW w:w="23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一般风险</w:t>
            </w:r>
          </w:p>
        </w:tc>
        <w:tc>
          <w:tcPr>
            <w:tcW w:w="898" w:type="pct"/>
            <w:shd w:val="clear" w:color="auto" w:fill="auto"/>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工程技术措施：带式输送机头部与尾部应设置防护罩或隔离栏及安全联锁装置；人员通过部位应设置专用跨越通道。</w:t>
            </w:r>
          </w:p>
          <w:p>
            <w:pPr>
              <w:adjustRightInd w:val="0"/>
              <w:snapToGrid w:val="0"/>
              <w:contextualSpacing/>
              <w:jc w:val="left"/>
              <w:rPr>
                <w:rFonts w:cs="Times New Roman" w:eastAsiaTheme="minorEastAsia"/>
                <w:sz w:val="18"/>
                <w:szCs w:val="18"/>
              </w:rPr>
            </w:pPr>
            <w:r>
              <w:rPr>
                <w:rFonts w:cs="Times New Roman" w:eastAsiaTheme="minorEastAsia"/>
                <w:sz w:val="18"/>
                <w:szCs w:val="18"/>
              </w:rPr>
              <w:t>现场管理措施：制定安全管理制度及岗位安全操作规程；现场设置安全警示标志；检维修做好相关审批手续和监护。</w:t>
            </w:r>
          </w:p>
          <w:p>
            <w:pPr>
              <w:adjustRightInd w:val="0"/>
              <w:snapToGrid w:val="0"/>
              <w:contextualSpacing/>
              <w:jc w:val="left"/>
              <w:rPr>
                <w:rFonts w:cs="Times New Roman" w:eastAsiaTheme="minorEastAsia"/>
                <w:sz w:val="18"/>
                <w:szCs w:val="18"/>
              </w:rPr>
            </w:pPr>
            <w:r>
              <w:rPr>
                <w:rFonts w:cs="Times New Roman" w:eastAsiaTheme="minorEastAsia"/>
                <w:sz w:val="18"/>
                <w:szCs w:val="18"/>
              </w:rPr>
              <w:t>培训教育措施：定期对相关人员进行输送机相关安全知识教育培训。</w:t>
            </w:r>
          </w:p>
          <w:p>
            <w:pPr>
              <w:adjustRightInd w:val="0"/>
              <w:snapToGrid w:val="0"/>
              <w:contextualSpacing/>
              <w:jc w:val="left"/>
              <w:rPr>
                <w:rFonts w:cs="Times New Roman" w:eastAsiaTheme="minorEastAsia"/>
                <w:sz w:val="18"/>
                <w:szCs w:val="18"/>
              </w:rPr>
            </w:pPr>
            <w:r>
              <w:rPr>
                <w:rFonts w:cs="Times New Roman" w:eastAsiaTheme="minorEastAsia"/>
                <w:sz w:val="18"/>
                <w:szCs w:val="18"/>
              </w:rPr>
              <w:t>个体防护措施：</w:t>
            </w:r>
          </w:p>
          <w:p>
            <w:pPr>
              <w:adjustRightInd w:val="0"/>
              <w:snapToGrid w:val="0"/>
              <w:contextualSpacing/>
              <w:jc w:val="left"/>
              <w:rPr>
                <w:rFonts w:cs="Times New Roman" w:eastAsiaTheme="minorEastAsia"/>
                <w:sz w:val="18"/>
                <w:szCs w:val="18"/>
              </w:rPr>
            </w:pPr>
            <w:r>
              <w:rPr>
                <w:rFonts w:cs="Times New Roman" w:eastAsiaTheme="minorEastAsia"/>
                <w:sz w:val="18"/>
                <w:szCs w:val="18"/>
              </w:rPr>
              <w:t>工作帽、工作服、工作鞋等。</w:t>
            </w:r>
          </w:p>
          <w:p>
            <w:pPr>
              <w:adjustRightInd w:val="0"/>
              <w:snapToGrid w:val="0"/>
              <w:contextualSpacing/>
              <w:jc w:val="left"/>
              <w:rPr>
                <w:rFonts w:cs="Times New Roman" w:eastAsiaTheme="minorEastAsia"/>
                <w:sz w:val="18"/>
                <w:szCs w:val="18"/>
              </w:rPr>
            </w:pPr>
            <w:r>
              <w:rPr>
                <w:rFonts w:cs="Times New Roman" w:eastAsiaTheme="minorEastAsia"/>
                <w:sz w:val="18"/>
                <w:szCs w:val="18"/>
              </w:rPr>
              <w:t>应急处置措施：发生事故紧急疏散人群，对受伤人员进行现场处理。</w:t>
            </w:r>
          </w:p>
        </w:tc>
        <w:tc>
          <w:tcPr>
            <w:tcW w:w="230" w:type="pct"/>
            <w:shd w:val="clear" w:color="auto" w:fill="auto"/>
            <w:noWrap/>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车间</w:t>
            </w:r>
          </w:p>
        </w:tc>
        <w:tc>
          <w:tcPr>
            <w:tcW w:w="229" w:type="pct"/>
            <w:shd w:val="clear" w:color="auto" w:fill="auto"/>
            <w:noWrap/>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生产部</w:t>
            </w:r>
          </w:p>
        </w:tc>
        <w:tc>
          <w:tcPr>
            <w:tcW w:w="23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钱XX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3</w:t>
            </w:r>
          </w:p>
        </w:tc>
        <w:tc>
          <w:tcPr>
            <w:tcW w:w="275"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配电房</w:t>
            </w:r>
          </w:p>
        </w:tc>
        <w:tc>
          <w:tcPr>
            <w:tcW w:w="230" w:type="pct"/>
            <w:shd w:val="clear" w:color="auto" w:fill="auto"/>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供电</w:t>
            </w:r>
          </w:p>
        </w:tc>
        <w:tc>
          <w:tcPr>
            <w:tcW w:w="23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变压器漏油引起火灾爆炸</w:t>
            </w:r>
          </w:p>
        </w:tc>
        <w:tc>
          <w:tcPr>
            <w:tcW w:w="78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油浸式变压器</w:t>
            </w:r>
          </w:p>
        </w:tc>
        <w:tc>
          <w:tcPr>
            <w:tcW w:w="275"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火灾、其他爆炸</w:t>
            </w:r>
          </w:p>
        </w:tc>
        <w:tc>
          <w:tcPr>
            <w:tcW w:w="279"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1</w:t>
            </w:r>
          </w:p>
        </w:tc>
        <w:tc>
          <w:tcPr>
            <w:tcW w:w="291"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3</w:t>
            </w:r>
          </w:p>
        </w:tc>
        <w:tc>
          <w:tcPr>
            <w:tcW w:w="275"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15</w:t>
            </w:r>
          </w:p>
        </w:tc>
        <w:tc>
          <w:tcPr>
            <w:tcW w:w="275" w:type="pct"/>
            <w:shd w:val="clear" w:color="auto" w:fill="auto"/>
            <w:noWrap/>
            <w:vAlign w:val="center"/>
          </w:tcPr>
          <w:p>
            <w:pPr>
              <w:widowControl/>
              <w:adjustRightInd w:val="0"/>
              <w:snapToGrid w:val="0"/>
              <w:contextualSpacing/>
              <w:jc w:val="center"/>
              <w:rPr>
                <w:rFonts w:cs="Times New Roman" w:eastAsiaTheme="minorEastAsia"/>
                <w:kern w:val="0"/>
                <w:sz w:val="18"/>
                <w:szCs w:val="18"/>
              </w:rPr>
            </w:pPr>
            <w:r>
              <w:rPr>
                <w:rFonts w:cs="Times New Roman" w:eastAsiaTheme="minorEastAsia"/>
                <w:kern w:val="0"/>
                <w:sz w:val="18"/>
                <w:szCs w:val="18"/>
              </w:rPr>
              <w:t>45</w:t>
            </w:r>
          </w:p>
        </w:tc>
        <w:tc>
          <w:tcPr>
            <w:tcW w:w="23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低风险</w:t>
            </w:r>
          </w:p>
        </w:tc>
        <w:tc>
          <w:tcPr>
            <w:tcW w:w="898" w:type="pct"/>
            <w:shd w:val="clear" w:color="auto" w:fill="auto"/>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工程技术措施：各部位无渗、漏油现象，变压器引线接头、电缆、母线无过热痕迹，套管、绝缘子无破损、裂纹、积污现象，吸湿器完好，吸附剂干燥无变色现象，声响正常；应设置将油排到安全场所的设施，危险环境中应设置能容 纳全部变压器油的储油池。</w:t>
            </w:r>
          </w:p>
          <w:p>
            <w:pPr>
              <w:adjustRightInd w:val="0"/>
              <w:snapToGrid w:val="0"/>
              <w:contextualSpacing/>
              <w:jc w:val="left"/>
              <w:rPr>
                <w:rFonts w:cs="Times New Roman" w:eastAsiaTheme="minorEastAsia"/>
                <w:sz w:val="18"/>
                <w:szCs w:val="18"/>
              </w:rPr>
            </w:pPr>
            <w:r>
              <w:rPr>
                <w:rFonts w:cs="Times New Roman" w:eastAsiaTheme="minorEastAsia"/>
                <w:sz w:val="18"/>
                <w:szCs w:val="18"/>
              </w:rPr>
              <w:t>现场管理措施：制定安全管理制度及岗位安全操作规程；现场设置安全警示标志；检维修做好相关审批手续和监护。</w:t>
            </w:r>
          </w:p>
          <w:p>
            <w:pPr>
              <w:adjustRightInd w:val="0"/>
              <w:snapToGrid w:val="0"/>
              <w:contextualSpacing/>
              <w:jc w:val="left"/>
              <w:rPr>
                <w:rFonts w:cs="Times New Roman" w:eastAsiaTheme="minorEastAsia"/>
                <w:sz w:val="18"/>
                <w:szCs w:val="18"/>
              </w:rPr>
            </w:pPr>
            <w:r>
              <w:rPr>
                <w:rFonts w:cs="Times New Roman" w:eastAsiaTheme="minorEastAsia"/>
                <w:sz w:val="18"/>
                <w:szCs w:val="18"/>
              </w:rPr>
              <w:t>培训教育措施：定期对相关人员进行油浸式变压器相关安全知识教育培训。</w:t>
            </w:r>
          </w:p>
          <w:p>
            <w:pPr>
              <w:adjustRightInd w:val="0"/>
              <w:snapToGrid w:val="0"/>
              <w:contextualSpacing/>
              <w:jc w:val="left"/>
              <w:rPr>
                <w:rFonts w:cs="Times New Roman" w:eastAsiaTheme="minorEastAsia"/>
                <w:sz w:val="18"/>
                <w:szCs w:val="18"/>
              </w:rPr>
            </w:pPr>
            <w:r>
              <w:rPr>
                <w:rFonts w:cs="Times New Roman" w:eastAsiaTheme="minorEastAsia"/>
                <w:sz w:val="18"/>
                <w:szCs w:val="18"/>
              </w:rPr>
              <w:t>个体防护措施：绝缘鞋、绝缘手套等。</w:t>
            </w:r>
          </w:p>
          <w:p>
            <w:pPr>
              <w:adjustRightInd w:val="0"/>
              <w:snapToGrid w:val="0"/>
              <w:contextualSpacing/>
              <w:jc w:val="left"/>
              <w:rPr>
                <w:rFonts w:cs="Times New Roman" w:eastAsiaTheme="minorEastAsia"/>
                <w:sz w:val="18"/>
                <w:szCs w:val="18"/>
              </w:rPr>
            </w:pPr>
            <w:r>
              <w:rPr>
                <w:rFonts w:cs="Times New Roman" w:eastAsiaTheme="minorEastAsia"/>
                <w:sz w:val="18"/>
                <w:szCs w:val="18"/>
              </w:rPr>
              <w:t>应急处置措施：发生事故紧急疏散人群，对受伤人员进行现场处理。</w:t>
            </w:r>
          </w:p>
        </w:tc>
        <w:tc>
          <w:tcPr>
            <w:tcW w:w="230" w:type="pct"/>
            <w:shd w:val="clear" w:color="auto" w:fill="auto"/>
            <w:noWrap/>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班组</w:t>
            </w:r>
          </w:p>
        </w:tc>
        <w:tc>
          <w:tcPr>
            <w:tcW w:w="229" w:type="pct"/>
            <w:shd w:val="clear" w:color="auto" w:fill="auto"/>
            <w:noWrap/>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生产部</w:t>
            </w:r>
          </w:p>
        </w:tc>
        <w:tc>
          <w:tcPr>
            <w:tcW w:w="230"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孙XX</w:t>
            </w:r>
          </w:p>
        </w:tc>
      </w:tr>
    </w:tbl>
    <w:p>
      <w:pPr>
        <w:pStyle w:val="2"/>
        <w:sectPr>
          <w:pgSz w:w="11907" w:h="8391" w:orient="landscape"/>
          <w:pgMar w:top="1418" w:right="1134" w:bottom="1077" w:left="1134" w:header="851" w:footer="992" w:gutter="0"/>
          <w:cols w:space="425" w:num="1"/>
          <w:docGrid w:linePitch="435" w:charSpace="0"/>
        </w:sectPr>
      </w:pP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2.按照相关规定，将风险向省级和地方应急管理部门报告。</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企业应当于每年第一季度完成安全风险定期报告。新建企业应当在建设项目竣工验收合格后三十日内完成首次安全风险报告。</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有下列情形之一的，应当在确定或者调整安全风险等级后十五日内进行变更报告：（1）有新的较大以上安全风险的；（2）原报告的较大以上安全风险等级发生变化的。企业名称、主要负责人等基本信息发生变化的，应当在发生变化后十五日内进行变更报告。</w:t>
      </w:r>
    </w:p>
    <w:p>
      <w:pPr>
        <w:pStyle w:val="2"/>
        <w:rPr>
          <w:rFonts w:eastAsiaTheme="minorEastAsia"/>
          <w:b/>
          <w:bCs/>
          <w:sz w:val="24"/>
          <w:szCs w:val="24"/>
        </w:rPr>
      </w:pPr>
      <w:r>
        <w:rPr>
          <w:rFonts w:hint="eastAsia" w:eastAsiaTheme="minorEastAsia"/>
          <w:b/>
          <w:bCs/>
          <w:sz w:val="24"/>
          <w:szCs w:val="24"/>
        </w:rPr>
        <w:t>释义：</w:t>
      </w:r>
    </w:p>
    <w:p>
      <w:pPr>
        <w:pStyle w:val="2"/>
        <w:adjustRightInd w:val="0"/>
        <w:snapToGrid w:val="0"/>
        <w:spacing w:line="360" w:lineRule="auto"/>
        <w:ind w:firstLine="480" w:firstLineChars="200"/>
        <w:contextualSpacing/>
        <w:rPr>
          <w:sz w:val="24"/>
          <w:szCs w:val="24"/>
        </w:rPr>
      </w:pPr>
      <w:r>
        <w:rPr>
          <w:rFonts w:hint="eastAsia" w:ascii="宋体" w:hAnsi="宋体"/>
          <w:sz w:val="24"/>
          <w:szCs w:val="24"/>
        </w:rPr>
        <w:t>①</w:t>
      </w:r>
      <w:r>
        <w:rPr>
          <w:sz w:val="24"/>
          <w:szCs w:val="24"/>
        </w:rPr>
        <w:t>省系统申报要求</w:t>
      </w:r>
    </w:p>
    <w:p>
      <w:pPr>
        <w:pStyle w:val="2"/>
        <w:adjustRightInd w:val="0"/>
        <w:snapToGrid w:val="0"/>
        <w:spacing w:line="360" w:lineRule="auto"/>
        <w:ind w:firstLine="480" w:firstLineChars="200"/>
        <w:contextualSpacing/>
        <w:jc w:val="left"/>
        <w:rPr>
          <w:sz w:val="24"/>
          <w:szCs w:val="24"/>
        </w:rPr>
      </w:pPr>
      <w:r>
        <w:rPr>
          <w:sz w:val="24"/>
          <w:szCs w:val="24"/>
        </w:rPr>
        <w:t>江苏政务网较大风险申报网址：http://www.jszwfw.gov.cn/，企业应当登录“江苏省工业企业安全生产风险报告系统”</w:t>
      </w:r>
      <w:r>
        <w:rPr>
          <w:rFonts w:hint="eastAsia"/>
          <w:sz w:val="24"/>
          <w:szCs w:val="24"/>
        </w:rPr>
        <w:t>（见图9</w:t>
      </w:r>
      <w:r>
        <w:rPr>
          <w:sz w:val="24"/>
          <w:szCs w:val="24"/>
        </w:rPr>
        <w:t>.2</w:t>
      </w:r>
      <w:r>
        <w:rPr>
          <w:rFonts w:hint="eastAsia"/>
          <w:sz w:val="24"/>
          <w:szCs w:val="24"/>
        </w:rPr>
        <w:t>-</w:t>
      </w:r>
      <w:r>
        <w:rPr>
          <w:sz w:val="24"/>
          <w:szCs w:val="24"/>
        </w:rPr>
        <w:t>1</w:t>
      </w:r>
      <w:r>
        <w:rPr>
          <w:rFonts w:hint="eastAsia"/>
          <w:sz w:val="24"/>
          <w:szCs w:val="24"/>
        </w:rPr>
        <w:t>）</w:t>
      </w:r>
      <w:r>
        <w:rPr>
          <w:sz w:val="24"/>
          <w:szCs w:val="24"/>
        </w:rPr>
        <w:t>，按照要求填报安全生产基本信息、较大以上安全风险信息等内容。没有较大以上安全风险的，也应当登录安全风险网上报告系统进行确认。具体操作见《江苏省工业企业安全生产风险报告系统企业端填报指南》（2022年版）。</w:t>
      </w:r>
    </w:p>
    <w:p>
      <w:pPr>
        <w:adjustRightInd w:val="0"/>
        <w:snapToGrid w:val="0"/>
        <w:spacing w:line="360" w:lineRule="auto"/>
        <w:contextualSpacing/>
        <w:jc w:val="center"/>
        <w:rPr>
          <w:rFonts w:cs="Times New Roman" w:eastAsiaTheme="minorEastAsia"/>
          <w:sz w:val="24"/>
        </w:rPr>
      </w:pPr>
      <w:r>
        <w:rPr>
          <w:rFonts w:cs="Times New Roman" w:eastAsiaTheme="minorEastAsia"/>
          <w:sz w:val="24"/>
        </w:rPr>
        <w:drawing>
          <wp:inline distT="0" distB="0" distL="0" distR="0">
            <wp:extent cx="3705225" cy="1583055"/>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153"/>
                    <a:srcRect/>
                    <a:stretch>
                      <a:fillRect/>
                    </a:stretch>
                  </pic:blipFill>
                  <pic:spPr>
                    <a:xfrm>
                      <a:off x="0" y="0"/>
                      <a:ext cx="3710490" cy="1585390"/>
                    </a:xfrm>
                    <a:prstGeom prst="rect">
                      <a:avLst/>
                    </a:prstGeom>
                    <a:noFill/>
                    <a:ln w="9525">
                      <a:noFill/>
                      <a:miter lim="800000"/>
                      <a:headEnd/>
                      <a:tailEnd/>
                    </a:ln>
                  </pic:spPr>
                </pic:pic>
              </a:graphicData>
            </a:graphic>
          </wp:inline>
        </w:drawing>
      </w:r>
    </w:p>
    <w:p>
      <w:pPr>
        <w:adjustRightInd w:val="0"/>
        <w:snapToGrid w:val="0"/>
        <w:spacing w:line="360" w:lineRule="auto"/>
        <w:contextualSpacing/>
        <w:jc w:val="center"/>
        <w:rPr>
          <w:rFonts w:cs="Times New Roman" w:eastAsiaTheme="minorEastAsia"/>
          <w:sz w:val="21"/>
          <w:szCs w:val="21"/>
        </w:rPr>
      </w:pPr>
      <w:r>
        <w:rPr>
          <w:rFonts w:hint="eastAsia" w:cs="Times New Roman" w:eastAsiaTheme="minorEastAsia"/>
          <w:sz w:val="21"/>
          <w:szCs w:val="21"/>
        </w:rPr>
        <w:t>图9</w:t>
      </w:r>
      <w:r>
        <w:rPr>
          <w:rFonts w:cs="Times New Roman" w:eastAsiaTheme="minorEastAsia"/>
          <w:sz w:val="21"/>
          <w:szCs w:val="21"/>
        </w:rPr>
        <w:t>.2</w:t>
      </w:r>
      <w:r>
        <w:rPr>
          <w:rFonts w:hint="eastAsia" w:cs="Times New Roman" w:eastAsiaTheme="minorEastAsia"/>
          <w:sz w:val="21"/>
          <w:szCs w:val="21"/>
        </w:rPr>
        <w:t>-</w:t>
      </w:r>
      <w:r>
        <w:rPr>
          <w:rFonts w:cs="Times New Roman" w:eastAsiaTheme="minorEastAsia"/>
          <w:sz w:val="21"/>
          <w:szCs w:val="21"/>
        </w:rPr>
        <w:t>1江苏省工业企业安全生产风险报告系统</w:t>
      </w:r>
    </w:p>
    <w:p>
      <w:pPr>
        <w:adjustRightInd w:val="0"/>
        <w:snapToGrid w:val="0"/>
        <w:spacing w:line="360" w:lineRule="auto"/>
        <w:ind w:firstLine="480" w:firstLineChars="200"/>
        <w:contextualSpacing/>
        <w:jc w:val="left"/>
        <w:rPr>
          <w:rFonts w:cs="Times New Roman" w:eastAsiaTheme="minorEastAsia"/>
          <w:sz w:val="24"/>
        </w:rPr>
      </w:pPr>
      <w:r>
        <w:rPr>
          <w:rFonts w:hint="eastAsia" w:cs="Times New Roman" w:asciiTheme="minorEastAsia" w:hAnsiTheme="minorEastAsia" w:eastAsiaTheme="minorEastAsia"/>
          <w:sz w:val="24"/>
        </w:rPr>
        <w:t>②常州</w:t>
      </w:r>
      <w:r>
        <w:rPr>
          <w:rFonts w:cs="Times New Roman" w:eastAsiaTheme="minorEastAsia"/>
          <w:sz w:val="24"/>
        </w:rPr>
        <w:t>市系统申报要求</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常州市企业安全生产管理信息系统址：</w:t>
      </w:r>
      <w:r>
        <w:fldChar w:fldCharType="begin"/>
      </w:r>
      <w:r>
        <w:instrText xml:space="preserve"> HYPERLINK "http://www.jsczyj.cn/" \l "/login/ent" </w:instrText>
      </w:r>
      <w:r>
        <w:fldChar w:fldCharType="separate"/>
      </w:r>
      <w:r>
        <w:rPr>
          <w:rStyle w:val="20"/>
          <w:rFonts w:cs="Times New Roman" w:eastAsiaTheme="minorEastAsia"/>
          <w:color w:val="auto"/>
          <w:sz w:val="24"/>
        </w:rPr>
        <w:t>http://www.jsczyj.cn/#/login/ent</w:t>
      </w:r>
      <w:r>
        <w:rPr>
          <w:rStyle w:val="20"/>
          <w:rFonts w:cs="Times New Roman" w:eastAsiaTheme="minorEastAsia"/>
          <w:color w:val="auto"/>
          <w:sz w:val="24"/>
        </w:rPr>
        <w:fldChar w:fldCharType="end"/>
      </w:r>
      <w:r>
        <w:rPr>
          <w:rFonts w:cs="Times New Roman" w:eastAsiaTheme="minorEastAsia"/>
          <w:sz w:val="24"/>
        </w:rPr>
        <w:t>，企业应当登录“常州市企业安全生产管理信息系统”</w:t>
      </w:r>
      <w:r>
        <w:rPr>
          <w:rFonts w:hint="eastAsia" w:cs="Times New Roman" w:eastAsiaTheme="minorEastAsia"/>
          <w:sz w:val="24"/>
        </w:rPr>
        <w:t>（见图9.2-2）</w:t>
      </w:r>
      <w:r>
        <w:rPr>
          <w:rFonts w:cs="Times New Roman" w:eastAsiaTheme="minorEastAsia"/>
          <w:sz w:val="24"/>
        </w:rPr>
        <w:t>，注册登录，进入“风险管控隐患自查”，对企业安全风险进行填报。具体见《常州市应急管理系统操作手册》（统一门户企业端）。</w:t>
      </w:r>
    </w:p>
    <w:p>
      <w:pPr>
        <w:adjustRightInd w:val="0"/>
        <w:snapToGrid w:val="0"/>
        <w:spacing w:line="360" w:lineRule="auto"/>
        <w:contextualSpacing/>
        <w:jc w:val="center"/>
        <w:rPr>
          <w:rFonts w:cs="Times New Roman" w:eastAsiaTheme="minorEastAsia"/>
          <w:sz w:val="24"/>
        </w:rPr>
      </w:pPr>
      <w:r>
        <w:rPr>
          <w:rFonts w:cs="Times New Roman" w:eastAsiaTheme="minorEastAsia"/>
          <w:sz w:val="24"/>
        </w:rPr>
        <w:drawing>
          <wp:inline distT="0" distB="0" distL="0" distR="0">
            <wp:extent cx="3872865" cy="17805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54"/>
                    <a:srcRect b="13339"/>
                    <a:stretch>
                      <a:fillRect/>
                    </a:stretch>
                  </pic:blipFill>
                  <pic:spPr>
                    <a:xfrm>
                      <a:off x="0" y="0"/>
                      <a:ext cx="3877472" cy="1782876"/>
                    </a:xfrm>
                    <a:prstGeom prst="rect">
                      <a:avLst/>
                    </a:prstGeom>
                    <a:noFill/>
                    <a:ln>
                      <a:noFill/>
                    </a:ln>
                  </pic:spPr>
                </pic:pic>
              </a:graphicData>
            </a:graphic>
          </wp:inline>
        </w:drawing>
      </w:r>
    </w:p>
    <w:p>
      <w:pPr>
        <w:pStyle w:val="2"/>
        <w:jc w:val="center"/>
        <w:rPr>
          <w:sz w:val="21"/>
          <w:szCs w:val="21"/>
        </w:rPr>
      </w:pPr>
      <w:r>
        <w:rPr>
          <w:rFonts w:hint="eastAsia"/>
          <w:sz w:val="21"/>
          <w:szCs w:val="21"/>
        </w:rPr>
        <w:t>图9</w:t>
      </w:r>
      <w:r>
        <w:rPr>
          <w:sz w:val="21"/>
          <w:szCs w:val="21"/>
        </w:rPr>
        <w:t>.2</w:t>
      </w:r>
      <w:r>
        <w:rPr>
          <w:rFonts w:hint="eastAsia"/>
          <w:sz w:val="21"/>
          <w:szCs w:val="21"/>
        </w:rPr>
        <w:t>-</w:t>
      </w:r>
      <w:r>
        <w:rPr>
          <w:sz w:val="21"/>
          <w:szCs w:val="21"/>
        </w:rPr>
        <w:t>2</w:t>
      </w:r>
      <w:r>
        <w:rPr>
          <w:rFonts w:hint="eastAsia"/>
          <w:sz w:val="21"/>
          <w:szCs w:val="21"/>
        </w:rPr>
        <w:t>常州市系统申报系统</w:t>
      </w:r>
    </w:p>
    <w:p>
      <w:pPr>
        <w:adjustRightInd w:val="0"/>
        <w:snapToGrid w:val="0"/>
        <w:spacing w:line="360" w:lineRule="auto"/>
        <w:ind w:firstLine="480" w:firstLineChars="200"/>
        <w:contextualSpacing/>
        <w:jc w:val="left"/>
        <w:rPr>
          <w:rFonts w:cs="Times New Roman" w:eastAsiaTheme="minorEastAsia"/>
          <w:sz w:val="24"/>
        </w:rPr>
      </w:pPr>
      <w:r>
        <w:rPr>
          <w:rFonts w:cs="Times New Roman" w:eastAsiaTheme="minorEastAsia"/>
          <w:sz w:val="24"/>
        </w:rPr>
        <w:t>3.企业应当建立安全风险档案。安全风险档案包括安全风险管理制度、管控清单、分布图、变更情况、报告确认材料等内容。其中，较大以上安全风险资料应当单独立卷，内容包括安全风险名称、等级、所处位置、管控措施和变更情况等。</w:t>
      </w:r>
    </w:p>
    <w:p>
      <w:pPr>
        <w:pStyle w:val="2"/>
        <w:adjustRightInd w:val="0"/>
        <w:snapToGrid w:val="0"/>
        <w:spacing w:after="0" w:line="360" w:lineRule="auto"/>
        <w:ind w:firstLine="482" w:firstLineChars="200"/>
        <w:contextualSpacing/>
        <w:jc w:val="left"/>
        <w:rPr>
          <w:b/>
          <w:bCs/>
          <w:sz w:val="24"/>
          <w:szCs w:val="24"/>
        </w:rPr>
      </w:pPr>
      <w:r>
        <w:rPr>
          <w:rFonts w:hint="eastAsia"/>
          <w:b/>
          <w:bCs/>
          <w:sz w:val="24"/>
          <w:szCs w:val="24"/>
        </w:rPr>
        <w:t>释义：</w:t>
      </w:r>
    </w:p>
    <w:p>
      <w:pPr>
        <w:pStyle w:val="2"/>
        <w:adjustRightInd w:val="0"/>
        <w:snapToGrid w:val="0"/>
        <w:spacing w:after="0" w:line="360" w:lineRule="auto"/>
        <w:ind w:firstLine="480" w:firstLineChars="200"/>
        <w:contextualSpacing/>
        <w:jc w:val="left"/>
        <w:rPr>
          <w:rFonts w:eastAsiaTheme="minorEastAsia"/>
          <w:sz w:val="24"/>
          <w:szCs w:val="24"/>
        </w:rPr>
      </w:pPr>
      <w:r>
        <w:rPr>
          <w:rFonts w:hint="eastAsia" w:asciiTheme="minorEastAsia" w:hAnsiTheme="minorEastAsia" w:eastAsiaTheme="minorEastAsia"/>
          <w:sz w:val="24"/>
          <w:szCs w:val="24"/>
        </w:rPr>
        <w:t>①</w:t>
      </w:r>
      <w:r>
        <w:rPr>
          <w:rFonts w:hint="eastAsia" w:eastAsiaTheme="minorEastAsia"/>
          <w:sz w:val="24"/>
          <w:szCs w:val="24"/>
        </w:rPr>
        <w:t>安全风险档案应包含：</w:t>
      </w:r>
    </w:p>
    <w:p>
      <w:pPr>
        <w:pStyle w:val="2"/>
        <w:adjustRightInd w:val="0"/>
        <w:snapToGrid w:val="0"/>
        <w:spacing w:after="0" w:line="360" w:lineRule="auto"/>
        <w:ind w:firstLine="480" w:firstLineChars="200"/>
        <w:contextualSpacing/>
        <w:jc w:val="left"/>
        <w:rPr>
          <w:rFonts w:eastAsiaTheme="minorEastAsia"/>
          <w:sz w:val="24"/>
          <w:szCs w:val="24"/>
        </w:rPr>
      </w:pPr>
      <w:r>
        <w:rPr>
          <w:rFonts w:hint="eastAsia" w:eastAsiaTheme="minorEastAsia"/>
          <w:sz w:val="24"/>
          <w:szCs w:val="24"/>
        </w:rPr>
        <w:t>安全风险管理制度、管控清单、分布图、变更情况、报告确认材料、单独立卷的较大风险清单、风险培训记录，风险检查记录</w:t>
      </w:r>
    </w:p>
    <w:p>
      <w:pPr>
        <w:pStyle w:val="2"/>
        <w:adjustRightInd w:val="0"/>
        <w:snapToGrid w:val="0"/>
        <w:spacing w:after="0" w:line="360" w:lineRule="auto"/>
        <w:ind w:firstLine="480" w:firstLineChars="200"/>
        <w:contextualSpacing/>
        <w:jc w:val="left"/>
        <w:rPr>
          <w:rFonts w:eastAsiaTheme="minorEastAsia"/>
          <w:sz w:val="24"/>
          <w:szCs w:val="24"/>
        </w:rPr>
      </w:pPr>
      <w:r>
        <w:rPr>
          <w:rFonts w:hint="eastAsia" w:asciiTheme="minorEastAsia" w:hAnsiTheme="minorEastAsia" w:eastAsiaTheme="minorEastAsia"/>
          <w:sz w:val="24"/>
          <w:szCs w:val="24"/>
        </w:rPr>
        <w:t>②</w:t>
      </w:r>
      <w:r>
        <w:rPr>
          <w:rFonts w:hint="eastAsia" w:eastAsiaTheme="minorEastAsia"/>
          <w:sz w:val="24"/>
          <w:szCs w:val="24"/>
        </w:rPr>
        <w:t>较大风险清单示例见表9</w:t>
      </w:r>
      <w:r>
        <w:rPr>
          <w:rFonts w:eastAsiaTheme="minorEastAsia"/>
          <w:sz w:val="24"/>
          <w:szCs w:val="24"/>
        </w:rPr>
        <w:t>.2</w:t>
      </w:r>
      <w:r>
        <w:rPr>
          <w:rFonts w:hint="eastAsia" w:eastAsiaTheme="minorEastAsia"/>
          <w:sz w:val="24"/>
          <w:szCs w:val="24"/>
        </w:rPr>
        <w:t>-</w:t>
      </w:r>
      <w:r>
        <w:rPr>
          <w:rFonts w:eastAsiaTheme="minorEastAsia"/>
          <w:sz w:val="24"/>
          <w:szCs w:val="24"/>
        </w:rPr>
        <w:t>2</w:t>
      </w:r>
      <w:r>
        <w:rPr>
          <w:rFonts w:hint="eastAsia" w:eastAsiaTheme="minorEastAsia"/>
          <w:sz w:val="24"/>
          <w:szCs w:val="24"/>
        </w:rPr>
        <w:t>。</w:t>
      </w:r>
    </w:p>
    <w:p>
      <w:pPr>
        <w:adjustRightInd w:val="0"/>
        <w:snapToGrid w:val="0"/>
        <w:spacing w:line="360" w:lineRule="auto"/>
        <w:contextualSpacing/>
        <w:jc w:val="left"/>
        <w:rPr>
          <w:rFonts w:cs="Times New Roman" w:eastAsiaTheme="minorEastAsia"/>
          <w:b/>
          <w:bCs/>
          <w:sz w:val="24"/>
        </w:rPr>
      </w:pPr>
    </w:p>
    <w:p>
      <w:pPr>
        <w:adjustRightInd w:val="0"/>
        <w:snapToGrid w:val="0"/>
        <w:spacing w:line="360" w:lineRule="auto"/>
        <w:ind w:firstLine="482" w:firstLineChars="200"/>
        <w:contextualSpacing/>
        <w:jc w:val="left"/>
        <w:rPr>
          <w:rFonts w:cs="Times New Roman" w:eastAsiaTheme="minorEastAsia"/>
          <w:b/>
          <w:bCs/>
          <w:sz w:val="24"/>
        </w:rPr>
        <w:sectPr>
          <w:pgSz w:w="8391" w:h="11907"/>
          <w:pgMar w:top="1418" w:right="1134" w:bottom="1077" w:left="1134" w:header="851" w:footer="992" w:gutter="0"/>
          <w:cols w:space="425" w:num="1"/>
          <w:docGrid w:linePitch="435" w:charSpace="0"/>
        </w:sectPr>
      </w:pPr>
    </w:p>
    <w:p>
      <w:pPr>
        <w:adjustRightInd w:val="0"/>
        <w:snapToGrid w:val="0"/>
        <w:spacing w:line="360" w:lineRule="auto"/>
        <w:contextualSpacing/>
        <w:jc w:val="center"/>
        <w:rPr>
          <w:rFonts w:cs="Times New Roman" w:eastAsiaTheme="minorEastAsia"/>
          <w:sz w:val="21"/>
          <w:szCs w:val="21"/>
        </w:rPr>
      </w:pPr>
      <w:r>
        <w:rPr>
          <w:rFonts w:hint="eastAsia" w:cs="Times New Roman" w:eastAsiaTheme="minorEastAsia"/>
          <w:sz w:val="21"/>
          <w:szCs w:val="21"/>
        </w:rPr>
        <w:t>表9</w:t>
      </w:r>
      <w:r>
        <w:rPr>
          <w:rFonts w:cs="Times New Roman" w:eastAsiaTheme="minorEastAsia"/>
          <w:sz w:val="21"/>
          <w:szCs w:val="21"/>
        </w:rPr>
        <w:t>.2</w:t>
      </w:r>
      <w:r>
        <w:rPr>
          <w:rFonts w:hint="eastAsia" w:cs="Times New Roman" w:eastAsiaTheme="minorEastAsia"/>
          <w:sz w:val="21"/>
          <w:szCs w:val="21"/>
        </w:rPr>
        <w:t>-</w:t>
      </w:r>
      <w:r>
        <w:rPr>
          <w:rFonts w:cs="Times New Roman" w:eastAsiaTheme="minorEastAsia"/>
          <w:sz w:val="21"/>
          <w:szCs w:val="21"/>
        </w:rPr>
        <w:t>2较大以上安全风险清单（示例）</w:t>
      </w:r>
    </w:p>
    <w:tbl>
      <w:tblPr>
        <w:tblStyle w:val="16"/>
        <w:tblpPr w:leftFromText="181" w:rightFromText="181" w:vertAnchor="text" w:horzAnchor="margin"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4"/>
        <w:gridCol w:w="488"/>
        <w:gridCol w:w="401"/>
        <w:gridCol w:w="401"/>
        <w:gridCol w:w="794"/>
        <w:gridCol w:w="1116"/>
        <w:gridCol w:w="621"/>
        <w:gridCol w:w="2949"/>
        <w:gridCol w:w="577"/>
        <w:gridCol w:w="766"/>
        <w:gridCol w:w="777"/>
        <w:gridCol w:w="4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4" w:type="pct"/>
            <w:vMerge w:val="restart"/>
            <w:shd w:val="clear" w:color="auto" w:fill="auto"/>
            <w:vAlign w:val="center"/>
          </w:tcPr>
          <w:p>
            <w:pPr>
              <w:widowControl/>
              <w:adjustRightInd w:val="0"/>
              <w:snapToGrid w:val="0"/>
              <w:contextualSpacing/>
              <w:jc w:val="left"/>
              <w:rPr>
                <w:rFonts w:cs="Times New Roman" w:eastAsiaTheme="minorEastAsia"/>
                <w:b/>
                <w:bCs/>
                <w:kern w:val="0"/>
                <w:sz w:val="18"/>
                <w:szCs w:val="18"/>
              </w:rPr>
            </w:pPr>
            <w:r>
              <w:rPr>
                <w:rFonts w:cs="Times New Roman" w:eastAsiaTheme="minorEastAsia"/>
                <w:b/>
                <w:bCs/>
                <w:kern w:val="0"/>
                <w:sz w:val="18"/>
                <w:szCs w:val="18"/>
              </w:rPr>
              <w:t>序号</w:t>
            </w:r>
          </w:p>
        </w:tc>
        <w:tc>
          <w:tcPr>
            <w:tcW w:w="271" w:type="pct"/>
            <w:vMerge w:val="restart"/>
            <w:shd w:val="clear" w:color="auto" w:fill="auto"/>
            <w:vAlign w:val="center"/>
          </w:tcPr>
          <w:p>
            <w:pPr>
              <w:widowControl/>
              <w:adjustRightInd w:val="0"/>
              <w:snapToGrid w:val="0"/>
              <w:contextualSpacing/>
              <w:jc w:val="left"/>
              <w:rPr>
                <w:rFonts w:cs="Times New Roman" w:eastAsiaTheme="minorEastAsia"/>
                <w:b/>
                <w:bCs/>
                <w:kern w:val="0"/>
                <w:sz w:val="18"/>
                <w:szCs w:val="18"/>
              </w:rPr>
            </w:pPr>
            <w:r>
              <w:rPr>
                <w:rFonts w:cs="Times New Roman" w:eastAsiaTheme="minorEastAsia"/>
                <w:b/>
                <w:bCs/>
                <w:kern w:val="0"/>
                <w:sz w:val="18"/>
                <w:szCs w:val="18"/>
              </w:rPr>
              <w:t>场所</w:t>
            </w:r>
          </w:p>
        </w:tc>
        <w:tc>
          <w:tcPr>
            <w:tcW w:w="227" w:type="pct"/>
            <w:vMerge w:val="restart"/>
            <w:shd w:val="clear" w:color="auto" w:fill="auto"/>
            <w:vAlign w:val="center"/>
          </w:tcPr>
          <w:p>
            <w:pPr>
              <w:widowControl/>
              <w:adjustRightInd w:val="0"/>
              <w:snapToGrid w:val="0"/>
              <w:contextualSpacing/>
              <w:jc w:val="left"/>
              <w:rPr>
                <w:rFonts w:cs="Times New Roman" w:eastAsiaTheme="minorEastAsia"/>
                <w:b/>
                <w:bCs/>
                <w:kern w:val="0"/>
                <w:sz w:val="18"/>
                <w:szCs w:val="18"/>
              </w:rPr>
            </w:pPr>
            <w:r>
              <w:rPr>
                <w:rFonts w:cs="Times New Roman" w:eastAsiaTheme="minorEastAsia"/>
                <w:b/>
                <w:bCs/>
                <w:kern w:val="0"/>
                <w:sz w:val="18"/>
                <w:szCs w:val="18"/>
              </w:rPr>
              <w:t>环节</w:t>
            </w:r>
          </w:p>
        </w:tc>
        <w:tc>
          <w:tcPr>
            <w:tcW w:w="227" w:type="pct"/>
            <w:vMerge w:val="restart"/>
            <w:shd w:val="clear" w:color="auto" w:fill="auto"/>
            <w:vAlign w:val="center"/>
          </w:tcPr>
          <w:p>
            <w:pPr>
              <w:widowControl/>
              <w:adjustRightInd w:val="0"/>
              <w:snapToGrid w:val="0"/>
              <w:contextualSpacing/>
              <w:jc w:val="left"/>
              <w:rPr>
                <w:rFonts w:cs="Times New Roman" w:eastAsiaTheme="minorEastAsia"/>
                <w:b/>
                <w:bCs/>
                <w:kern w:val="0"/>
                <w:sz w:val="18"/>
                <w:szCs w:val="18"/>
              </w:rPr>
            </w:pPr>
            <w:r>
              <w:rPr>
                <w:rFonts w:cs="Times New Roman" w:eastAsiaTheme="minorEastAsia"/>
                <w:b/>
                <w:bCs/>
                <w:kern w:val="0"/>
                <w:sz w:val="18"/>
                <w:szCs w:val="18"/>
              </w:rPr>
              <w:t>部位</w:t>
            </w:r>
          </w:p>
        </w:tc>
        <w:tc>
          <w:tcPr>
            <w:tcW w:w="426" w:type="pct"/>
            <w:vMerge w:val="restart"/>
            <w:shd w:val="clear" w:color="auto" w:fill="auto"/>
            <w:vAlign w:val="center"/>
          </w:tcPr>
          <w:p>
            <w:pPr>
              <w:widowControl/>
              <w:adjustRightInd w:val="0"/>
              <w:snapToGrid w:val="0"/>
              <w:contextualSpacing/>
              <w:jc w:val="left"/>
              <w:rPr>
                <w:rFonts w:cs="Times New Roman" w:eastAsiaTheme="minorEastAsia"/>
                <w:b/>
                <w:bCs/>
                <w:kern w:val="0"/>
                <w:sz w:val="18"/>
                <w:szCs w:val="18"/>
              </w:rPr>
            </w:pPr>
            <w:r>
              <w:rPr>
                <w:rFonts w:cs="Times New Roman" w:eastAsiaTheme="minorEastAsia"/>
                <w:b/>
                <w:bCs/>
                <w:kern w:val="0"/>
                <w:sz w:val="18"/>
                <w:szCs w:val="18"/>
              </w:rPr>
              <w:t>危险源</w:t>
            </w:r>
          </w:p>
        </w:tc>
        <w:tc>
          <w:tcPr>
            <w:tcW w:w="312" w:type="pct"/>
            <w:vMerge w:val="restart"/>
            <w:shd w:val="clear" w:color="auto" w:fill="auto"/>
            <w:vAlign w:val="center"/>
          </w:tcPr>
          <w:p>
            <w:pPr>
              <w:widowControl/>
              <w:adjustRightInd w:val="0"/>
              <w:snapToGrid w:val="0"/>
              <w:contextualSpacing/>
              <w:jc w:val="left"/>
              <w:rPr>
                <w:rFonts w:cs="Times New Roman" w:eastAsiaTheme="minorEastAsia"/>
                <w:b/>
                <w:bCs/>
                <w:kern w:val="0"/>
                <w:sz w:val="18"/>
                <w:szCs w:val="18"/>
              </w:rPr>
            </w:pPr>
            <w:r>
              <w:rPr>
                <w:rFonts w:cs="Times New Roman" w:eastAsiaTheme="minorEastAsia"/>
                <w:b/>
                <w:bCs/>
                <w:kern w:val="0"/>
                <w:sz w:val="18"/>
                <w:szCs w:val="18"/>
              </w:rPr>
              <w:t>事故类别</w:t>
            </w:r>
          </w:p>
        </w:tc>
        <w:tc>
          <w:tcPr>
            <w:tcW w:w="338" w:type="pct"/>
            <w:vMerge w:val="restart"/>
            <w:shd w:val="clear" w:color="auto" w:fill="auto"/>
            <w:vAlign w:val="center"/>
          </w:tcPr>
          <w:p>
            <w:pPr>
              <w:widowControl/>
              <w:adjustRightInd w:val="0"/>
              <w:snapToGrid w:val="0"/>
              <w:contextualSpacing/>
              <w:jc w:val="left"/>
              <w:rPr>
                <w:rFonts w:cs="Times New Roman" w:eastAsiaTheme="minorEastAsia"/>
                <w:b/>
                <w:bCs/>
                <w:kern w:val="0"/>
                <w:sz w:val="18"/>
                <w:szCs w:val="18"/>
              </w:rPr>
            </w:pPr>
            <w:r>
              <w:rPr>
                <w:rFonts w:cs="Times New Roman" w:eastAsiaTheme="minorEastAsia"/>
                <w:b/>
                <w:bCs/>
                <w:kern w:val="0"/>
                <w:sz w:val="18"/>
                <w:szCs w:val="18"/>
              </w:rPr>
              <w:t>风险等级</w:t>
            </w:r>
          </w:p>
        </w:tc>
        <w:tc>
          <w:tcPr>
            <w:tcW w:w="1519" w:type="pct"/>
            <w:vMerge w:val="restart"/>
            <w:shd w:val="clear" w:color="auto" w:fill="auto"/>
            <w:vAlign w:val="center"/>
          </w:tcPr>
          <w:p>
            <w:pPr>
              <w:widowControl/>
              <w:adjustRightInd w:val="0"/>
              <w:snapToGrid w:val="0"/>
              <w:contextualSpacing/>
              <w:jc w:val="left"/>
              <w:rPr>
                <w:rFonts w:cs="Times New Roman" w:eastAsiaTheme="minorEastAsia"/>
                <w:b/>
                <w:bCs/>
                <w:kern w:val="0"/>
                <w:sz w:val="18"/>
                <w:szCs w:val="18"/>
              </w:rPr>
            </w:pPr>
            <w:r>
              <w:rPr>
                <w:rFonts w:cs="Times New Roman" w:eastAsiaTheme="minorEastAsia"/>
                <w:b/>
                <w:bCs/>
                <w:kern w:val="0"/>
                <w:sz w:val="18"/>
                <w:szCs w:val="18"/>
              </w:rPr>
              <w:t>风险管控措施</w:t>
            </w:r>
          </w:p>
        </w:tc>
        <w:tc>
          <w:tcPr>
            <w:tcW w:w="1144" w:type="pct"/>
            <w:gridSpan w:val="3"/>
            <w:shd w:val="clear" w:color="auto" w:fill="auto"/>
            <w:noWrap/>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管控主体</w:t>
            </w:r>
          </w:p>
        </w:tc>
        <w:tc>
          <w:tcPr>
            <w:tcW w:w="263" w:type="pct"/>
            <w:vMerge w:val="restart"/>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变更情况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4" w:type="pct"/>
            <w:vMerge w:val="continue"/>
            <w:tcBorders>
              <w:bottom w:val="single" w:color="auto" w:sz="4" w:space="0"/>
            </w:tcBorders>
            <w:vAlign w:val="center"/>
          </w:tcPr>
          <w:p>
            <w:pPr>
              <w:widowControl/>
              <w:adjustRightInd w:val="0"/>
              <w:snapToGrid w:val="0"/>
              <w:contextualSpacing/>
              <w:jc w:val="left"/>
              <w:rPr>
                <w:rFonts w:cs="Times New Roman" w:eastAsiaTheme="minorEastAsia"/>
                <w:b/>
                <w:bCs/>
                <w:kern w:val="0"/>
                <w:sz w:val="18"/>
                <w:szCs w:val="18"/>
              </w:rPr>
            </w:pPr>
          </w:p>
        </w:tc>
        <w:tc>
          <w:tcPr>
            <w:tcW w:w="271" w:type="pct"/>
            <w:vMerge w:val="continue"/>
            <w:tcBorders>
              <w:bottom w:val="single" w:color="auto" w:sz="4" w:space="0"/>
            </w:tcBorders>
            <w:vAlign w:val="center"/>
          </w:tcPr>
          <w:p>
            <w:pPr>
              <w:widowControl/>
              <w:adjustRightInd w:val="0"/>
              <w:snapToGrid w:val="0"/>
              <w:contextualSpacing/>
              <w:jc w:val="left"/>
              <w:rPr>
                <w:rFonts w:cs="Times New Roman" w:eastAsiaTheme="minorEastAsia"/>
                <w:b/>
                <w:bCs/>
                <w:kern w:val="0"/>
                <w:sz w:val="18"/>
                <w:szCs w:val="18"/>
              </w:rPr>
            </w:pPr>
          </w:p>
        </w:tc>
        <w:tc>
          <w:tcPr>
            <w:tcW w:w="227" w:type="pct"/>
            <w:vMerge w:val="continue"/>
            <w:tcBorders>
              <w:bottom w:val="single" w:color="auto" w:sz="4" w:space="0"/>
            </w:tcBorders>
            <w:vAlign w:val="center"/>
          </w:tcPr>
          <w:p>
            <w:pPr>
              <w:widowControl/>
              <w:adjustRightInd w:val="0"/>
              <w:snapToGrid w:val="0"/>
              <w:contextualSpacing/>
              <w:jc w:val="left"/>
              <w:rPr>
                <w:rFonts w:cs="Times New Roman" w:eastAsiaTheme="minorEastAsia"/>
                <w:b/>
                <w:bCs/>
                <w:kern w:val="0"/>
                <w:sz w:val="18"/>
                <w:szCs w:val="18"/>
              </w:rPr>
            </w:pPr>
          </w:p>
        </w:tc>
        <w:tc>
          <w:tcPr>
            <w:tcW w:w="227" w:type="pct"/>
            <w:vMerge w:val="continue"/>
            <w:tcBorders>
              <w:bottom w:val="single" w:color="auto" w:sz="4" w:space="0"/>
            </w:tcBorders>
            <w:vAlign w:val="center"/>
          </w:tcPr>
          <w:p>
            <w:pPr>
              <w:widowControl/>
              <w:adjustRightInd w:val="0"/>
              <w:snapToGrid w:val="0"/>
              <w:contextualSpacing/>
              <w:jc w:val="left"/>
              <w:rPr>
                <w:rFonts w:cs="Times New Roman" w:eastAsiaTheme="minorEastAsia"/>
                <w:b/>
                <w:bCs/>
                <w:kern w:val="0"/>
                <w:sz w:val="18"/>
                <w:szCs w:val="18"/>
              </w:rPr>
            </w:pPr>
          </w:p>
        </w:tc>
        <w:tc>
          <w:tcPr>
            <w:tcW w:w="426" w:type="pct"/>
            <w:vMerge w:val="continue"/>
            <w:tcBorders>
              <w:bottom w:val="single" w:color="auto" w:sz="4" w:space="0"/>
            </w:tcBorders>
            <w:vAlign w:val="center"/>
          </w:tcPr>
          <w:p>
            <w:pPr>
              <w:widowControl/>
              <w:adjustRightInd w:val="0"/>
              <w:snapToGrid w:val="0"/>
              <w:contextualSpacing/>
              <w:jc w:val="left"/>
              <w:rPr>
                <w:rFonts w:cs="Times New Roman" w:eastAsiaTheme="minorEastAsia"/>
                <w:b/>
                <w:bCs/>
                <w:kern w:val="0"/>
                <w:sz w:val="18"/>
                <w:szCs w:val="18"/>
              </w:rPr>
            </w:pPr>
          </w:p>
        </w:tc>
        <w:tc>
          <w:tcPr>
            <w:tcW w:w="312" w:type="pct"/>
            <w:vMerge w:val="continue"/>
            <w:tcBorders>
              <w:bottom w:val="single" w:color="auto" w:sz="4" w:space="0"/>
            </w:tcBorders>
            <w:vAlign w:val="center"/>
          </w:tcPr>
          <w:p>
            <w:pPr>
              <w:widowControl/>
              <w:adjustRightInd w:val="0"/>
              <w:snapToGrid w:val="0"/>
              <w:contextualSpacing/>
              <w:jc w:val="left"/>
              <w:rPr>
                <w:rFonts w:cs="Times New Roman" w:eastAsiaTheme="minorEastAsia"/>
                <w:b/>
                <w:bCs/>
                <w:kern w:val="0"/>
                <w:sz w:val="18"/>
                <w:szCs w:val="18"/>
              </w:rPr>
            </w:pPr>
          </w:p>
        </w:tc>
        <w:tc>
          <w:tcPr>
            <w:tcW w:w="338" w:type="pct"/>
            <w:vMerge w:val="continue"/>
            <w:tcBorders>
              <w:bottom w:val="single" w:color="auto" w:sz="4" w:space="0"/>
            </w:tcBorders>
            <w:vAlign w:val="center"/>
          </w:tcPr>
          <w:p>
            <w:pPr>
              <w:widowControl/>
              <w:adjustRightInd w:val="0"/>
              <w:snapToGrid w:val="0"/>
              <w:contextualSpacing/>
              <w:jc w:val="left"/>
              <w:rPr>
                <w:rFonts w:cs="Times New Roman" w:eastAsiaTheme="minorEastAsia"/>
                <w:b/>
                <w:bCs/>
                <w:kern w:val="0"/>
                <w:sz w:val="18"/>
                <w:szCs w:val="18"/>
              </w:rPr>
            </w:pPr>
          </w:p>
        </w:tc>
        <w:tc>
          <w:tcPr>
            <w:tcW w:w="1519" w:type="pct"/>
            <w:vMerge w:val="continue"/>
            <w:tcBorders>
              <w:bottom w:val="single" w:color="auto" w:sz="4" w:space="0"/>
            </w:tcBorders>
            <w:vAlign w:val="center"/>
          </w:tcPr>
          <w:p>
            <w:pPr>
              <w:widowControl/>
              <w:adjustRightInd w:val="0"/>
              <w:snapToGrid w:val="0"/>
              <w:contextualSpacing/>
              <w:jc w:val="left"/>
              <w:rPr>
                <w:rFonts w:cs="Times New Roman" w:eastAsiaTheme="minorEastAsia"/>
                <w:b/>
                <w:bCs/>
                <w:kern w:val="0"/>
                <w:sz w:val="18"/>
                <w:szCs w:val="18"/>
              </w:rPr>
            </w:pPr>
          </w:p>
        </w:tc>
        <w:tc>
          <w:tcPr>
            <w:tcW w:w="315" w:type="pct"/>
            <w:tcBorders>
              <w:bottom w:val="single" w:color="auto" w:sz="4" w:space="0"/>
            </w:tcBorders>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管控层级</w:t>
            </w:r>
          </w:p>
        </w:tc>
        <w:tc>
          <w:tcPr>
            <w:tcW w:w="412" w:type="pct"/>
            <w:tcBorders>
              <w:bottom w:val="single" w:color="auto" w:sz="4" w:space="0"/>
            </w:tcBorders>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责任部门</w:t>
            </w:r>
          </w:p>
        </w:tc>
        <w:tc>
          <w:tcPr>
            <w:tcW w:w="417" w:type="pct"/>
            <w:tcBorders>
              <w:bottom w:val="single" w:color="auto" w:sz="4" w:space="0"/>
            </w:tcBorders>
            <w:shd w:val="clear" w:color="auto" w:fill="auto"/>
            <w:vAlign w:val="center"/>
          </w:tcPr>
          <w:p>
            <w:pPr>
              <w:widowControl/>
              <w:adjustRightInd w:val="0"/>
              <w:snapToGrid w:val="0"/>
              <w:contextualSpacing/>
              <w:jc w:val="center"/>
              <w:rPr>
                <w:rFonts w:cs="Times New Roman" w:eastAsiaTheme="minorEastAsia"/>
                <w:b/>
                <w:bCs/>
                <w:kern w:val="0"/>
                <w:sz w:val="18"/>
                <w:szCs w:val="18"/>
              </w:rPr>
            </w:pPr>
            <w:r>
              <w:rPr>
                <w:rFonts w:cs="Times New Roman" w:eastAsiaTheme="minorEastAsia"/>
                <w:b/>
                <w:bCs/>
                <w:kern w:val="0"/>
                <w:sz w:val="18"/>
                <w:szCs w:val="18"/>
              </w:rPr>
              <w:t>责任人</w:t>
            </w:r>
          </w:p>
        </w:tc>
        <w:tc>
          <w:tcPr>
            <w:tcW w:w="263" w:type="pct"/>
            <w:vMerge w:val="continue"/>
            <w:tcBorders>
              <w:bottom w:val="single" w:color="auto" w:sz="4" w:space="0"/>
            </w:tcBorders>
          </w:tcPr>
          <w:p>
            <w:pPr>
              <w:widowControl/>
              <w:adjustRightInd w:val="0"/>
              <w:snapToGrid w:val="0"/>
              <w:contextualSpacing/>
              <w:jc w:val="left"/>
              <w:rPr>
                <w:rFonts w:cs="Times New Roman" w:eastAsiaTheme="minorEastAsia"/>
                <w:b/>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4" w:type="pct"/>
            <w:shd w:val="clear" w:color="auto" w:fill="auto"/>
            <w:noWrap/>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1</w:t>
            </w:r>
          </w:p>
        </w:tc>
        <w:tc>
          <w:tcPr>
            <w:tcW w:w="271" w:type="pct"/>
            <w:shd w:val="clear" w:color="auto" w:fill="auto"/>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后处理车间</w:t>
            </w:r>
          </w:p>
        </w:tc>
        <w:tc>
          <w:tcPr>
            <w:tcW w:w="227" w:type="pct"/>
            <w:shd w:val="clear" w:color="auto" w:fill="auto"/>
            <w:vAlign w:val="center"/>
          </w:tcPr>
          <w:p>
            <w:pPr>
              <w:widowControl/>
              <w:adjustRightInd w:val="0"/>
              <w:snapToGrid w:val="0"/>
              <w:contextualSpacing/>
              <w:jc w:val="left"/>
              <w:rPr>
                <w:rFonts w:cs="Times New Roman" w:eastAsiaTheme="minorEastAsia"/>
                <w:kern w:val="0"/>
                <w:sz w:val="18"/>
                <w:szCs w:val="18"/>
              </w:rPr>
            </w:pPr>
            <w:r>
              <w:rPr>
                <w:rFonts w:cs="Times New Roman" w:eastAsiaTheme="minorEastAsia"/>
                <w:kern w:val="0"/>
                <w:sz w:val="18"/>
                <w:szCs w:val="18"/>
              </w:rPr>
              <w:t>污水处理</w:t>
            </w:r>
          </w:p>
        </w:tc>
        <w:tc>
          <w:tcPr>
            <w:tcW w:w="227" w:type="pct"/>
            <w:shd w:val="clear" w:color="auto" w:fill="auto"/>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有限空间作业</w:t>
            </w:r>
          </w:p>
        </w:tc>
        <w:tc>
          <w:tcPr>
            <w:tcW w:w="426" w:type="pct"/>
            <w:shd w:val="clear" w:color="auto" w:fill="auto"/>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污水池</w:t>
            </w:r>
          </w:p>
        </w:tc>
        <w:tc>
          <w:tcPr>
            <w:tcW w:w="312" w:type="pct"/>
            <w:shd w:val="clear" w:color="auto" w:fill="auto"/>
            <w:noWrap/>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中毒和窒息</w:t>
            </w:r>
          </w:p>
        </w:tc>
        <w:tc>
          <w:tcPr>
            <w:tcW w:w="338" w:type="pct"/>
            <w:shd w:val="clear" w:color="auto" w:fill="auto"/>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较大风险</w:t>
            </w:r>
          </w:p>
        </w:tc>
        <w:tc>
          <w:tcPr>
            <w:tcW w:w="1519" w:type="pct"/>
            <w:shd w:val="clear" w:color="auto" w:fill="auto"/>
            <w:vAlign w:val="center"/>
          </w:tcPr>
          <w:p>
            <w:pPr>
              <w:adjustRightInd w:val="0"/>
              <w:snapToGrid w:val="0"/>
              <w:contextualSpacing/>
              <w:jc w:val="left"/>
              <w:rPr>
                <w:rFonts w:cs="Times New Roman" w:eastAsiaTheme="minorEastAsia"/>
                <w:sz w:val="18"/>
                <w:szCs w:val="18"/>
              </w:rPr>
            </w:pPr>
            <w:r>
              <w:rPr>
                <w:rFonts w:cs="Times New Roman" w:eastAsiaTheme="minorEastAsia"/>
                <w:sz w:val="18"/>
                <w:szCs w:val="18"/>
              </w:rPr>
              <w:t>工程技术措施：作业前先通风，后检测、再作业；作业人员佩戴防毒面具等防护用品；现场监护人员进行监护。</w:t>
            </w:r>
          </w:p>
          <w:p>
            <w:pPr>
              <w:adjustRightInd w:val="0"/>
              <w:snapToGrid w:val="0"/>
              <w:contextualSpacing/>
              <w:jc w:val="left"/>
              <w:rPr>
                <w:rFonts w:cs="Times New Roman" w:eastAsiaTheme="minorEastAsia"/>
                <w:sz w:val="18"/>
                <w:szCs w:val="18"/>
              </w:rPr>
            </w:pPr>
            <w:r>
              <w:rPr>
                <w:rFonts w:cs="Times New Roman" w:eastAsiaTheme="minorEastAsia"/>
                <w:sz w:val="18"/>
                <w:szCs w:val="18"/>
              </w:rPr>
              <w:t>现场管理措施：执行审批程序；设置警示标识；相关人员正确使用个体防护用具；制定制度及安全操作规程。</w:t>
            </w:r>
          </w:p>
          <w:p>
            <w:pPr>
              <w:adjustRightInd w:val="0"/>
              <w:snapToGrid w:val="0"/>
              <w:contextualSpacing/>
              <w:jc w:val="left"/>
              <w:rPr>
                <w:rFonts w:cs="Times New Roman" w:eastAsiaTheme="minorEastAsia"/>
                <w:sz w:val="18"/>
                <w:szCs w:val="18"/>
              </w:rPr>
            </w:pPr>
            <w:r>
              <w:rPr>
                <w:rFonts w:cs="Times New Roman" w:eastAsiaTheme="minorEastAsia"/>
                <w:sz w:val="18"/>
                <w:szCs w:val="18"/>
              </w:rPr>
              <w:t>教育培训措施：定期对相关人员进行有限空间专项安全教育培训。</w:t>
            </w:r>
          </w:p>
          <w:p>
            <w:pPr>
              <w:adjustRightInd w:val="0"/>
              <w:snapToGrid w:val="0"/>
              <w:contextualSpacing/>
              <w:jc w:val="left"/>
              <w:rPr>
                <w:rFonts w:cs="Times New Roman" w:eastAsiaTheme="minorEastAsia"/>
                <w:sz w:val="18"/>
                <w:szCs w:val="18"/>
              </w:rPr>
            </w:pPr>
            <w:r>
              <w:rPr>
                <w:rFonts w:cs="Times New Roman" w:eastAsiaTheme="minorEastAsia"/>
                <w:sz w:val="18"/>
                <w:szCs w:val="18"/>
              </w:rPr>
              <w:t>个体防护措施：安全帽、全身式安全带、安全绳、防毒面具等。</w:t>
            </w:r>
          </w:p>
          <w:p>
            <w:pPr>
              <w:adjustRightInd w:val="0"/>
              <w:snapToGrid w:val="0"/>
              <w:contextualSpacing/>
              <w:jc w:val="left"/>
              <w:rPr>
                <w:rFonts w:cs="Times New Roman" w:eastAsiaTheme="minorEastAsia"/>
                <w:sz w:val="18"/>
                <w:szCs w:val="18"/>
              </w:rPr>
            </w:pPr>
            <w:r>
              <w:rPr>
                <w:rFonts w:cs="Times New Roman" w:eastAsiaTheme="minorEastAsia"/>
                <w:sz w:val="18"/>
                <w:szCs w:val="18"/>
              </w:rPr>
              <w:t>应急处置措施：发生中毒事故后，立即启动应急响应并采取先通风、再检测、后救援的措施，禁止盲目施救。</w:t>
            </w:r>
          </w:p>
        </w:tc>
        <w:tc>
          <w:tcPr>
            <w:tcW w:w="315" w:type="pct"/>
            <w:shd w:val="clear" w:color="auto" w:fill="auto"/>
            <w:noWrap/>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公司</w:t>
            </w:r>
          </w:p>
        </w:tc>
        <w:tc>
          <w:tcPr>
            <w:tcW w:w="412"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生产部</w:t>
            </w:r>
          </w:p>
        </w:tc>
        <w:tc>
          <w:tcPr>
            <w:tcW w:w="417" w:type="pct"/>
            <w:shd w:val="clear" w:color="auto" w:fill="auto"/>
            <w:vAlign w:val="center"/>
          </w:tcPr>
          <w:p>
            <w:pPr>
              <w:adjustRightInd w:val="0"/>
              <w:snapToGrid w:val="0"/>
              <w:contextualSpacing/>
              <w:jc w:val="center"/>
              <w:rPr>
                <w:rFonts w:cs="Times New Roman" w:eastAsiaTheme="minorEastAsia"/>
                <w:sz w:val="18"/>
                <w:szCs w:val="18"/>
              </w:rPr>
            </w:pPr>
            <w:r>
              <w:rPr>
                <w:rFonts w:cs="Times New Roman" w:eastAsiaTheme="minorEastAsia"/>
                <w:sz w:val="18"/>
                <w:szCs w:val="18"/>
              </w:rPr>
              <w:t>赵XX</w:t>
            </w:r>
          </w:p>
        </w:tc>
        <w:tc>
          <w:tcPr>
            <w:tcW w:w="263" w:type="pct"/>
          </w:tcPr>
          <w:p>
            <w:pPr>
              <w:adjustRightInd w:val="0"/>
              <w:snapToGrid w:val="0"/>
              <w:contextualSpacing/>
              <w:jc w:val="left"/>
              <w:rPr>
                <w:rFonts w:cs="Times New Roman" w:eastAsiaTheme="minorEastAsia"/>
                <w:sz w:val="18"/>
                <w:szCs w:val="18"/>
              </w:rPr>
            </w:pPr>
          </w:p>
        </w:tc>
      </w:tr>
    </w:tbl>
    <w:p>
      <w:pPr>
        <w:pStyle w:val="2"/>
        <w:sectPr>
          <w:pgSz w:w="11907" w:h="8391" w:orient="landscape"/>
          <w:pgMar w:top="1418" w:right="1134" w:bottom="1077" w:left="1134" w:header="851" w:footer="992" w:gutter="0"/>
          <w:cols w:space="0" w:num="1"/>
          <w:docGrid w:linePitch="465" w:charSpace="1547"/>
        </w:sectPr>
      </w:pP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4.计量检测用的放射源应当按照有关规定取得放射物品使用许可证。</w:t>
      </w:r>
    </w:p>
    <w:p>
      <w:pPr>
        <w:pStyle w:val="2"/>
        <w:adjustRightInd w:val="0"/>
        <w:snapToGrid w:val="0"/>
        <w:spacing w:line="360" w:lineRule="auto"/>
        <w:contextualSpacing/>
        <w:jc w:val="left"/>
        <w:rPr>
          <w:rFonts w:eastAsiaTheme="minorEastAsia"/>
          <w:b/>
          <w:bCs/>
          <w:sz w:val="24"/>
          <w:szCs w:val="24"/>
        </w:rPr>
      </w:pPr>
      <w:r>
        <w:rPr>
          <w:rFonts w:hint="eastAsia" w:eastAsiaTheme="minorEastAsia"/>
          <w:b/>
          <w:bCs/>
          <w:sz w:val="24"/>
          <w:szCs w:val="24"/>
        </w:rPr>
        <w:t>释义：</w:t>
      </w:r>
    </w:p>
    <w:p>
      <w:pPr>
        <w:pStyle w:val="2"/>
        <w:adjustRightInd w:val="0"/>
        <w:snapToGrid w:val="0"/>
        <w:spacing w:line="360" w:lineRule="auto"/>
        <w:ind w:firstLine="494" w:firstLineChars="200"/>
        <w:contextualSpacing/>
        <w:jc w:val="left"/>
        <w:rPr>
          <w:rFonts w:eastAsiaTheme="minorEastAsia"/>
          <w:sz w:val="24"/>
          <w:szCs w:val="24"/>
        </w:rPr>
      </w:pPr>
      <w:r>
        <w:rPr>
          <w:rFonts w:hint="eastAsia" w:eastAsiaTheme="minorEastAsia"/>
          <w:sz w:val="24"/>
          <w:szCs w:val="24"/>
        </w:rPr>
        <w:t>《放射性同位素与射线装置安全和防护条例》（中华人民共和国国务院令第４４９号）第五条：生产、销售、使用放射性同位素和射线装置的单位，应当依照本章规定取得许可证。</w:t>
      </w:r>
    </w:p>
    <w:p>
      <w:pPr>
        <w:pStyle w:val="2"/>
        <w:adjustRightInd w:val="0"/>
        <w:snapToGrid w:val="0"/>
        <w:spacing w:line="360" w:lineRule="auto"/>
        <w:ind w:firstLine="494" w:firstLineChars="200"/>
        <w:contextualSpacing/>
        <w:jc w:val="left"/>
        <w:rPr>
          <w:rFonts w:eastAsiaTheme="minorEastAsia"/>
          <w:sz w:val="24"/>
          <w:szCs w:val="24"/>
        </w:rPr>
      </w:pPr>
      <w:r>
        <w:rPr>
          <w:rFonts w:hint="eastAsia" w:eastAsiaTheme="minorEastAsia"/>
          <w:sz w:val="24"/>
          <w:szCs w:val="24"/>
        </w:rPr>
        <w:t>《放射性同位素与射线装置安全许可管理办法》（原国家环境保护总局令第3号）第二条：在中华人民共和国境内生产、销售、使用放射性同位素与射线装置的单位（以下简称“辐射工作单位”），应当依照本办法的规定，取得辐射安全许可证（以下简称“许可证”）。</w:t>
      </w:r>
    </w:p>
    <w:p>
      <w:pPr>
        <w:adjustRightInd w:val="0"/>
        <w:snapToGrid w:val="0"/>
        <w:spacing w:line="360" w:lineRule="auto"/>
        <w:contextualSpacing/>
        <w:jc w:val="left"/>
        <w:outlineLvl w:val="1"/>
        <w:rPr>
          <w:rFonts w:cs="Times New Roman" w:eastAsiaTheme="minorEastAsia"/>
          <w:b/>
          <w:bCs/>
          <w:sz w:val="24"/>
        </w:rPr>
      </w:pPr>
      <w:r>
        <w:rPr>
          <w:rFonts w:cs="Times New Roman" w:eastAsiaTheme="minorEastAsia"/>
          <w:b/>
          <w:bCs/>
          <w:sz w:val="24"/>
        </w:rPr>
        <w:t>三、管控措施</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（一）企业应对识别的风险制定管控措施；</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1.企业对辨识出的安全风险，应当根据安全风险特点，从组织、技术、管理、应急等方面逐项制定管控措施，按照不同安全风险等级实施分级管控，将安全风险管控责任逐一落实到企业、车间、班组和岗位。</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企业应当对存在较大以上安全风险的生产系统、作业场所、设备设施、危险岗位，通过隔离安全风险源、采取技术手段、实施个体防护、设置监控预警设备等针对性措施加强管控，回避、降低和监测安全风险。</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对确定的重大危险源进行监控，并与应急管理部门联网。</w:t>
      </w:r>
    </w:p>
    <w:p>
      <w:pPr>
        <w:pStyle w:val="2"/>
        <w:rPr>
          <w:rFonts w:eastAsiaTheme="minorEastAsia"/>
          <w:b/>
          <w:bCs/>
          <w:sz w:val="24"/>
          <w:szCs w:val="24"/>
        </w:rPr>
      </w:pPr>
      <w:r>
        <w:rPr>
          <w:rFonts w:hint="eastAsia" w:eastAsiaTheme="minorEastAsia"/>
          <w:b/>
          <w:bCs/>
          <w:sz w:val="24"/>
          <w:szCs w:val="24"/>
        </w:rPr>
        <w:t>释义：</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安全管控措施要满足“五方面、六原则、详细化”的要求，即安全管控措施要包含以工程技术措施为核心五个方面的措施，工程技术措施要按照“六原则” 先后顺序去实施</w:t>
      </w:r>
      <w:r>
        <w:rPr>
          <w:rFonts w:hint="eastAsia" w:cs="Times New Roman" w:eastAsiaTheme="minorEastAsia"/>
          <w:sz w:val="24"/>
        </w:rPr>
        <w:t>（见图9</w:t>
      </w:r>
      <w:r>
        <w:rPr>
          <w:rFonts w:cs="Times New Roman" w:eastAsiaTheme="minorEastAsia"/>
          <w:sz w:val="24"/>
        </w:rPr>
        <w:t>.3</w:t>
      </w:r>
      <w:r>
        <w:rPr>
          <w:rFonts w:hint="eastAsia" w:cs="Times New Roman" w:eastAsiaTheme="minorEastAsia"/>
          <w:sz w:val="24"/>
        </w:rPr>
        <w:t>-</w:t>
      </w:r>
      <w:r>
        <w:rPr>
          <w:rFonts w:cs="Times New Roman" w:eastAsiaTheme="minorEastAsia"/>
          <w:sz w:val="24"/>
        </w:rPr>
        <w:t>1</w:t>
      </w:r>
      <w:r>
        <w:rPr>
          <w:rFonts w:hint="eastAsia" w:cs="Times New Roman" w:eastAsiaTheme="minorEastAsia"/>
          <w:sz w:val="24"/>
        </w:rPr>
        <w:t>）</w:t>
      </w:r>
      <w:r>
        <w:rPr>
          <w:rFonts w:cs="Times New Roman" w:eastAsiaTheme="minorEastAsia"/>
          <w:sz w:val="24"/>
        </w:rPr>
        <w:t>，所有实施方案描述要详细</w:t>
      </w:r>
      <w:r>
        <w:rPr>
          <w:rFonts w:hint="eastAsia" w:cs="Times New Roman" w:eastAsiaTheme="minorEastAsia"/>
          <w:sz w:val="24"/>
        </w:rPr>
        <w:t>（见表9</w:t>
      </w:r>
      <w:r>
        <w:rPr>
          <w:rFonts w:cs="Times New Roman" w:eastAsiaTheme="minorEastAsia"/>
          <w:sz w:val="24"/>
        </w:rPr>
        <w:t>.3</w:t>
      </w:r>
      <w:r>
        <w:rPr>
          <w:rFonts w:hint="eastAsia" w:cs="Times New Roman" w:eastAsiaTheme="minorEastAsia"/>
          <w:sz w:val="24"/>
        </w:rPr>
        <w:t>-</w:t>
      </w:r>
      <w:r>
        <w:rPr>
          <w:rFonts w:cs="Times New Roman" w:eastAsiaTheme="minorEastAsia"/>
          <w:sz w:val="24"/>
        </w:rPr>
        <w:t>1</w:t>
      </w:r>
      <w:r>
        <w:rPr>
          <w:rFonts w:hint="eastAsia" w:cs="Times New Roman" w:eastAsiaTheme="minorEastAsia"/>
          <w:sz w:val="24"/>
        </w:rPr>
        <w:t>）</w:t>
      </w:r>
      <w:r>
        <w:rPr>
          <w:rFonts w:cs="Times New Roman" w:eastAsiaTheme="minorEastAsia"/>
          <w:sz w:val="24"/>
        </w:rPr>
        <w:t>，便于实施。</w:t>
      </w:r>
    </w:p>
    <w:p>
      <w:pPr>
        <w:adjustRightInd w:val="0"/>
        <w:snapToGrid w:val="0"/>
        <w:spacing w:line="360" w:lineRule="auto"/>
        <w:contextualSpacing/>
        <w:jc w:val="center"/>
        <w:rPr>
          <w:rFonts w:cs="Times New Roman" w:eastAsiaTheme="minorEastAsia"/>
          <w:sz w:val="24"/>
        </w:rPr>
      </w:pPr>
      <w:r>
        <w:rPr>
          <w:rFonts w:cs="Times New Roman" w:eastAsiaTheme="minorEastAsia"/>
          <w:sz w:val="24"/>
        </w:rPr>
        <w:drawing>
          <wp:inline distT="0" distB="0" distL="0" distR="0">
            <wp:extent cx="3754120" cy="2112645"/>
            <wp:effectExtent l="0" t="0" r="17780"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754120" cy="2112645"/>
                    </a:xfrm>
                    <a:prstGeom prst="rect">
                      <a:avLst/>
                    </a:prstGeom>
                  </pic:spPr>
                </pic:pic>
              </a:graphicData>
            </a:graphic>
          </wp:inline>
        </w:drawing>
      </w:r>
    </w:p>
    <w:p>
      <w:pPr>
        <w:adjustRightInd w:val="0"/>
        <w:snapToGrid w:val="0"/>
        <w:spacing w:line="360" w:lineRule="auto"/>
        <w:ind w:firstLine="434" w:firstLineChars="200"/>
        <w:contextualSpacing/>
        <w:jc w:val="center"/>
        <w:rPr>
          <w:rFonts w:cs="Times New Roman" w:eastAsiaTheme="minorEastAsia"/>
          <w:sz w:val="21"/>
          <w:szCs w:val="21"/>
        </w:rPr>
      </w:pPr>
      <w:r>
        <w:rPr>
          <w:rFonts w:hint="eastAsia" w:cs="Times New Roman" w:eastAsiaTheme="minorEastAsia"/>
          <w:sz w:val="21"/>
          <w:szCs w:val="21"/>
        </w:rPr>
        <w:t>图9</w:t>
      </w:r>
      <w:r>
        <w:rPr>
          <w:rFonts w:cs="Times New Roman" w:eastAsiaTheme="minorEastAsia"/>
          <w:sz w:val="21"/>
          <w:szCs w:val="21"/>
        </w:rPr>
        <w:t>.3</w:t>
      </w:r>
      <w:r>
        <w:rPr>
          <w:rFonts w:hint="eastAsia" w:cs="Times New Roman" w:eastAsiaTheme="minorEastAsia"/>
          <w:sz w:val="21"/>
          <w:szCs w:val="21"/>
        </w:rPr>
        <w:t>-</w:t>
      </w:r>
      <w:r>
        <w:rPr>
          <w:rFonts w:cs="Times New Roman" w:eastAsiaTheme="minorEastAsia"/>
          <w:sz w:val="21"/>
          <w:szCs w:val="21"/>
        </w:rPr>
        <w:t>1安全管控五方面、六原则</w:t>
      </w:r>
    </w:p>
    <w:p>
      <w:pPr>
        <w:adjustRightInd w:val="0"/>
        <w:snapToGrid w:val="0"/>
        <w:spacing w:line="360" w:lineRule="auto"/>
        <w:ind w:firstLine="434" w:firstLineChars="200"/>
        <w:contextualSpacing/>
        <w:jc w:val="center"/>
        <w:rPr>
          <w:rFonts w:cs="Times New Roman" w:eastAsiaTheme="minorEastAsia"/>
          <w:sz w:val="21"/>
          <w:szCs w:val="21"/>
        </w:rPr>
      </w:pPr>
      <w:r>
        <w:rPr>
          <w:rFonts w:hint="eastAsia" w:cs="Times New Roman" w:eastAsiaTheme="minorEastAsia"/>
          <w:sz w:val="21"/>
          <w:szCs w:val="21"/>
        </w:rPr>
        <w:t>表9</w:t>
      </w:r>
      <w:r>
        <w:rPr>
          <w:rFonts w:cs="Times New Roman" w:eastAsiaTheme="minorEastAsia"/>
          <w:sz w:val="21"/>
          <w:szCs w:val="21"/>
        </w:rPr>
        <w:t>.3</w:t>
      </w:r>
      <w:r>
        <w:rPr>
          <w:rFonts w:hint="eastAsia" w:cs="Times New Roman" w:eastAsiaTheme="minorEastAsia"/>
          <w:sz w:val="21"/>
          <w:szCs w:val="21"/>
        </w:rPr>
        <w:t>-</w:t>
      </w:r>
      <w:r>
        <w:rPr>
          <w:rFonts w:cs="Times New Roman" w:eastAsiaTheme="minorEastAsia"/>
          <w:sz w:val="21"/>
          <w:szCs w:val="21"/>
        </w:rPr>
        <w:t>1管控措施详细化描述示例</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908"/>
        <w:gridCol w:w="851"/>
        <w:gridCol w:w="3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14" w:type="pct"/>
            <w:vMerge w:val="restart"/>
            <w:shd w:val="clear" w:color="auto" w:fill="auto"/>
            <w:noWrap/>
            <w:vAlign w:val="center"/>
          </w:tcPr>
          <w:p>
            <w:pPr>
              <w:widowControl/>
              <w:adjustRightInd w:val="0"/>
              <w:snapToGrid w:val="0"/>
              <w:contextualSpacing/>
              <w:jc w:val="center"/>
              <w:rPr>
                <w:rFonts w:cs="Times New Roman" w:eastAsiaTheme="majorEastAsia"/>
                <w:kern w:val="0"/>
                <w:sz w:val="21"/>
                <w:szCs w:val="21"/>
              </w:rPr>
            </w:pPr>
            <w:r>
              <w:rPr>
                <w:rFonts w:cs="Times New Roman" w:eastAsiaTheme="majorEastAsia"/>
                <w:kern w:val="0"/>
                <w:sz w:val="21"/>
                <w:szCs w:val="21"/>
              </w:rPr>
              <w:t>0311</w:t>
            </w:r>
          </w:p>
        </w:tc>
        <w:tc>
          <w:tcPr>
            <w:tcW w:w="716" w:type="pct"/>
            <w:vMerge w:val="restart"/>
            <w:shd w:val="clear" w:color="auto" w:fill="auto"/>
            <w:vAlign w:val="center"/>
          </w:tcPr>
          <w:p>
            <w:pPr>
              <w:widowControl/>
              <w:adjustRightInd w:val="0"/>
              <w:snapToGrid w:val="0"/>
              <w:contextualSpacing/>
              <w:jc w:val="center"/>
              <w:rPr>
                <w:rFonts w:cs="Times New Roman" w:eastAsiaTheme="majorEastAsia"/>
                <w:kern w:val="0"/>
                <w:sz w:val="21"/>
                <w:szCs w:val="21"/>
              </w:rPr>
            </w:pPr>
            <w:r>
              <w:rPr>
                <w:rFonts w:cs="Times New Roman" w:eastAsiaTheme="majorEastAsia"/>
                <w:kern w:val="0"/>
                <w:sz w:val="21"/>
                <w:szCs w:val="21"/>
              </w:rPr>
              <w:t>厂房内设置甲、乙类中间仓库物料泄漏、燃烧</w:t>
            </w:r>
          </w:p>
        </w:tc>
        <w:tc>
          <w:tcPr>
            <w:tcW w:w="671" w:type="pct"/>
            <w:vMerge w:val="restart"/>
            <w:shd w:val="clear" w:color="auto" w:fill="auto"/>
            <w:vAlign w:val="center"/>
          </w:tcPr>
          <w:p>
            <w:pPr>
              <w:widowControl/>
              <w:adjustRightInd w:val="0"/>
              <w:snapToGrid w:val="0"/>
              <w:contextualSpacing/>
              <w:jc w:val="center"/>
              <w:rPr>
                <w:rFonts w:cs="Times New Roman" w:eastAsiaTheme="majorEastAsia"/>
                <w:kern w:val="0"/>
                <w:sz w:val="21"/>
                <w:szCs w:val="21"/>
              </w:rPr>
            </w:pPr>
            <w:r>
              <w:rPr>
                <w:rFonts w:cs="Times New Roman" w:eastAsiaTheme="majorEastAsia"/>
                <w:kern w:val="0"/>
                <w:sz w:val="21"/>
                <w:szCs w:val="21"/>
              </w:rPr>
              <w:t>甲、乙类中间仓库</w:t>
            </w:r>
          </w:p>
        </w:tc>
        <w:tc>
          <w:tcPr>
            <w:tcW w:w="3098" w:type="pct"/>
            <w:shd w:val="clear" w:color="auto" w:fill="auto"/>
            <w:vAlign w:val="center"/>
          </w:tcPr>
          <w:p>
            <w:pPr>
              <w:widowControl/>
              <w:adjustRightInd w:val="0"/>
              <w:snapToGrid w:val="0"/>
              <w:contextualSpacing/>
              <w:jc w:val="left"/>
              <w:rPr>
                <w:rFonts w:cs="Times New Roman" w:eastAsiaTheme="majorEastAsia"/>
                <w:kern w:val="0"/>
                <w:sz w:val="21"/>
                <w:szCs w:val="21"/>
              </w:rPr>
            </w:pPr>
            <w:r>
              <w:rPr>
                <w:rFonts w:cs="Times New Roman" w:eastAsiaTheme="majorEastAsia"/>
                <w:kern w:val="0"/>
                <w:sz w:val="21"/>
                <w:szCs w:val="21"/>
              </w:rPr>
              <w:t>组织：成立专职安全管理机构或设置专职安全生产管理人员，明确人员的安全生产职责。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0" w:hRule="atLeast"/>
        </w:trPr>
        <w:tc>
          <w:tcPr>
            <w:tcW w:w="514"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716"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671"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3098" w:type="pct"/>
            <w:shd w:val="clear" w:color="auto" w:fill="auto"/>
            <w:vAlign w:val="center"/>
          </w:tcPr>
          <w:p>
            <w:pPr>
              <w:widowControl/>
              <w:adjustRightInd w:val="0"/>
              <w:snapToGrid w:val="0"/>
              <w:contextualSpacing/>
              <w:jc w:val="left"/>
              <w:rPr>
                <w:rFonts w:cs="Times New Roman" w:eastAsiaTheme="majorEastAsia"/>
                <w:kern w:val="0"/>
                <w:sz w:val="21"/>
                <w:szCs w:val="21"/>
              </w:rPr>
            </w:pPr>
            <w:r>
              <w:rPr>
                <w:rFonts w:cs="Times New Roman" w:eastAsiaTheme="majorEastAsia"/>
                <w:kern w:val="0"/>
                <w:sz w:val="21"/>
                <w:szCs w:val="21"/>
              </w:rPr>
              <w:t>工程技术：1.储存场所与其他生产区域应设置有效防火隔离措施。2.储存场所必须使用防爆电器，应安装防雷防静电接地装置，门口应设置人体消除静电装置；3.仓库应靠厂房边缘地带设置，单独开设门洞（应直通厂房外），库门、窗应向外开放；仓库应设置防流散措施，4.仓库应设置可燃有毒气体检测仪联锁通风设施；5.仓库电气开关应设置在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0" w:hRule="atLeast"/>
        </w:trPr>
        <w:tc>
          <w:tcPr>
            <w:tcW w:w="514"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716"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671"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3098" w:type="pct"/>
            <w:shd w:val="clear" w:color="auto" w:fill="auto"/>
            <w:vAlign w:val="center"/>
          </w:tcPr>
          <w:p>
            <w:pPr>
              <w:widowControl/>
              <w:adjustRightInd w:val="0"/>
              <w:snapToGrid w:val="0"/>
              <w:contextualSpacing/>
              <w:jc w:val="left"/>
              <w:rPr>
                <w:rFonts w:cs="Times New Roman" w:eastAsiaTheme="majorEastAsia"/>
                <w:kern w:val="0"/>
                <w:sz w:val="21"/>
                <w:szCs w:val="21"/>
              </w:rPr>
            </w:pPr>
            <w:r>
              <w:rPr>
                <w:rFonts w:cs="Times New Roman" w:eastAsiaTheme="majorEastAsia"/>
                <w:kern w:val="0"/>
                <w:sz w:val="21"/>
                <w:szCs w:val="21"/>
              </w:rPr>
              <w:t>管理：1.加强对安全设施的点检和定期检查，定期开展防雷、防静电、可燃气体检测报警装置检验检测。2.设置安全警示标志标识及安全技术说明书和化学品安全标签等；3.企业应按照要求分区、分类、分库储存，严禁超量、超范围储存，禁忌物质禁止混放混存；4.仓库内禁止开桶分装作业；5.物料存放量严格控制数量，不得超过一昼夜当班最大使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 w:hRule="atLeast"/>
        </w:trPr>
        <w:tc>
          <w:tcPr>
            <w:tcW w:w="514"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716"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671"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3098" w:type="pct"/>
            <w:shd w:val="clear" w:color="auto" w:fill="auto"/>
            <w:vAlign w:val="center"/>
          </w:tcPr>
          <w:p>
            <w:pPr>
              <w:widowControl/>
              <w:adjustRightInd w:val="0"/>
              <w:snapToGrid w:val="0"/>
              <w:contextualSpacing/>
              <w:jc w:val="left"/>
              <w:rPr>
                <w:rFonts w:cs="Times New Roman" w:eastAsiaTheme="majorEastAsia"/>
                <w:kern w:val="0"/>
                <w:sz w:val="21"/>
                <w:szCs w:val="21"/>
              </w:rPr>
            </w:pPr>
            <w:r>
              <w:rPr>
                <w:rFonts w:cs="Times New Roman" w:eastAsiaTheme="majorEastAsia"/>
                <w:kern w:val="0"/>
                <w:sz w:val="21"/>
                <w:szCs w:val="21"/>
              </w:rPr>
              <w:t>培训教育：企业应对涉及危险化学品使用的从业人员开展危险化学品安全技术说明书和安全标签等内容的专项安全教育培训，并考核合格后上岗；涉及高危作业、特种作业等有资格要求的岗位，应依法配备取得相应资格的人员；应将外包作业人员统一纳入本企业进行安全教育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14"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716"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671"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3098" w:type="pct"/>
            <w:shd w:val="clear" w:color="auto" w:fill="auto"/>
            <w:vAlign w:val="center"/>
          </w:tcPr>
          <w:p>
            <w:pPr>
              <w:widowControl/>
              <w:adjustRightInd w:val="0"/>
              <w:snapToGrid w:val="0"/>
              <w:contextualSpacing/>
              <w:jc w:val="left"/>
              <w:rPr>
                <w:rFonts w:cs="Times New Roman" w:eastAsiaTheme="majorEastAsia"/>
                <w:kern w:val="0"/>
                <w:sz w:val="21"/>
                <w:szCs w:val="21"/>
              </w:rPr>
            </w:pPr>
            <w:r>
              <w:rPr>
                <w:rFonts w:cs="Times New Roman" w:eastAsiaTheme="majorEastAsia"/>
                <w:kern w:val="0"/>
                <w:sz w:val="21"/>
                <w:szCs w:val="21"/>
              </w:rPr>
              <w:t>个体防护措施：应配备安全帽、防静电工作服、化学安全防护眼镜、冲淋洗眼器、不易产生火花的工作鞋。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 w:hRule="atLeast"/>
        </w:trPr>
        <w:tc>
          <w:tcPr>
            <w:tcW w:w="514"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716"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671" w:type="pct"/>
            <w:vMerge w:val="continue"/>
            <w:vAlign w:val="center"/>
          </w:tcPr>
          <w:p>
            <w:pPr>
              <w:widowControl/>
              <w:adjustRightInd w:val="0"/>
              <w:snapToGrid w:val="0"/>
              <w:contextualSpacing/>
              <w:jc w:val="left"/>
              <w:rPr>
                <w:rFonts w:cs="Times New Roman" w:eastAsiaTheme="majorEastAsia"/>
                <w:kern w:val="0"/>
                <w:sz w:val="21"/>
                <w:szCs w:val="21"/>
              </w:rPr>
            </w:pPr>
          </w:p>
        </w:tc>
        <w:tc>
          <w:tcPr>
            <w:tcW w:w="3098" w:type="pct"/>
            <w:shd w:val="clear" w:color="auto" w:fill="auto"/>
            <w:vAlign w:val="center"/>
          </w:tcPr>
          <w:p>
            <w:pPr>
              <w:widowControl/>
              <w:adjustRightInd w:val="0"/>
              <w:snapToGrid w:val="0"/>
              <w:contextualSpacing/>
              <w:jc w:val="left"/>
              <w:rPr>
                <w:rFonts w:cs="Times New Roman" w:eastAsiaTheme="majorEastAsia"/>
                <w:kern w:val="0"/>
                <w:sz w:val="21"/>
                <w:szCs w:val="21"/>
              </w:rPr>
            </w:pPr>
            <w:r>
              <w:rPr>
                <w:rFonts w:cs="Times New Roman" w:eastAsiaTheme="majorEastAsia"/>
                <w:kern w:val="0"/>
                <w:sz w:val="21"/>
                <w:szCs w:val="21"/>
              </w:rPr>
              <w:t>应急处置：1.企业应建立安全生产事故应急预案管理体系，制定安全事故应急预案或处置方案，定期开展应急培训和演练，及时修订完善;2.针对物料特性，使用合适的有效的灭火介质（如抗溶性泡沫、消防沙、吸油棉、干粉灭火器等）；3.配备便携式可燃气体检测仪器；</w:t>
            </w:r>
          </w:p>
        </w:tc>
      </w:tr>
    </w:tbl>
    <w:p>
      <w:pPr>
        <w:pStyle w:val="2"/>
        <w:rPr>
          <w:rFonts w:eastAsiaTheme="minorEastAsia"/>
          <w:sz w:val="24"/>
          <w:szCs w:val="24"/>
        </w:rPr>
      </w:pPr>
    </w:p>
    <w:p>
      <w:pPr>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2.企业应当对安全风险管控措施落实情况进行经常性检查，防止安全风险管控措施失效、弱化。企业主要负责人按规定组织开展的安全生产全面检查，应当包括对安全风险管控措施落实情况的检查。</w:t>
      </w:r>
    </w:p>
    <w:p>
      <w:pPr>
        <w:pStyle w:val="2"/>
        <w:snapToGrid w:val="0"/>
        <w:spacing w:after="0" w:line="360" w:lineRule="auto"/>
        <w:contextualSpacing/>
        <w:jc w:val="left"/>
        <w:rPr>
          <w:rFonts w:eastAsiaTheme="minorEastAsia"/>
          <w:b/>
          <w:bCs/>
          <w:sz w:val="24"/>
          <w:szCs w:val="24"/>
        </w:rPr>
      </w:pPr>
      <w:r>
        <w:rPr>
          <w:rFonts w:hint="eastAsia" w:eastAsiaTheme="minorEastAsia"/>
          <w:b/>
          <w:bCs/>
          <w:sz w:val="24"/>
          <w:szCs w:val="24"/>
        </w:rPr>
        <w:t>释义：</w:t>
      </w:r>
    </w:p>
    <w:p>
      <w:pPr>
        <w:pStyle w:val="2"/>
        <w:snapToGrid w:val="0"/>
        <w:spacing w:after="0" w:line="360" w:lineRule="auto"/>
        <w:ind w:firstLine="494" w:firstLineChars="200"/>
        <w:contextualSpacing/>
        <w:jc w:val="left"/>
        <w:rPr>
          <w:sz w:val="21"/>
          <w:szCs w:val="21"/>
        </w:rPr>
      </w:pPr>
      <w:r>
        <w:rPr>
          <w:rFonts w:hint="eastAsia" w:eastAsiaTheme="minorEastAsia"/>
          <w:sz w:val="24"/>
          <w:szCs w:val="24"/>
        </w:rPr>
        <w:t>通过</w:t>
      </w:r>
      <w:r>
        <w:rPr>
          <w:rFonts w:eastAsiaTheme="minorEastAsia"/>
          <w:sz w:val="24"/>
          <w:szCs w:val="24"/>
        </w:rPr>
        <w:t>“常安码”</w:t>
      </w:r>
      <w:r>
        <w:rPr>
          <w:rFonts w:hint="eastAsia" w:eastAsiaTheme="minorEastAsia"/>
          <w:sz w:val="24"/>
          <w:szCs w:val="24"/>
        </w:rPr>
        <w:t>扫码检查落实隐患排查工作，</w:t>
      </w:r>
      <w:r>
        <w:rPr>
          <w:rFonts w:eastAsiaTheme="minorEastAsia"/>
          <w:sz w:val="24"/>
          <w:szCs w:val="24"/>
        </w:rPr>
        <w:t xml:space="preserve"> </w:t>
      </w:r>
      <w:r>
        <w:rPr>
          <w:rFonts w:hint="eastAsia" w:eastAsiaTheme="minorEastAsia"/>
          <w:sz w:val="24"/>
          <w:szCs w:val="24"/>
        </w:rPr>
        <w:t>具体要求见第八章第五节。</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（二）企业应按照相关文件要求开展风险公示；（纳入安全可视化管理）</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企业应当通过公示栏公示较大以上安全风险的名称、所处位置、可能导致的事故类型及其后果、管控责任部门和监督举报电话等基本情况。</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在较大以上风险现场设置岗位风险告知牌（内容包含名称、地点、责任人员、事故模式、控制措施等），并按具体情况配备消防、防雷、通讯、照明等应急器材和设备等。</w:t>
      </w:r>
      <w:bookmarkStart w:id="47" w:name="_Toc21874"/>
      <w:bookmarkStart w:id="48" w:name="_Toc12704"/>
      <w:bookmarkStart w:id="49" w:name="_Toc18029"/>
    </w:p>
    <w:bookmarkEnd w:id="47"/>
    <w:bookmarkEnd w:id="48"/>
    <w:bookmarkEnd w:id="49"/>
    <w:p>
      <w:pPr>
        <w:adjustRightInd w:val="0"/>
        <w:snapToGrid w:val="0"/>
        <w:spacing w:line="360" w:lineRule="auto"/>
        <w:contextualSpacing/>
        <w:jc w:val="left"/>
        <w:rPr>
          <w:rFonts w:cs="Times New Roman" w:eastAsiaTheme="minorEastAsia"/>
          <w:sz w:val="24"/>
        </w:rPr>
      </w:pPr>
      <w:r>
        <w:rPr>
          <w:rFonts w:hint="eastAsia" w:cs="Times New Roman" w:eastAsiaTheme="minorEastAsia"/>
          <w:b/>
          <w:bCs/>
          <w:sz w:val="24"/>
        </w:rPr>
        <w:t>释义：</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安全风险公示实行厂级、车间级、岗位级三级公示。</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1.公司级公示</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建议地点：厂（园）区入口安全宣传栏</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具体要求：</w:t>
      </w:r>
      <w:r>
        <w:rPr>
          <w:rFonts w:hint="eastAsia" w:cs="Times New Roman" w:eastAsiaTheme="minorEastAsia"/>
          <w:sz w:val="24"/>
        </w:rPr>
        <w:t>见第十四章表</w:t>
      </w:r>
      <w:r>
        <w:rPr>
          <w:rFonts w:cs="Times New Roman" w:eastAsiaTheme="minorEastAsia"/>
          <w:sz w:val="24"/>
        </w:rPr>
        <w:t>14.4-1</w:t>
      </w:r>
    </w:p>
    <w:p>
      <w:pPr>
        <w:pStyle w:val="2"/>
        <w:ind w:firstLine="494" w:firstLineChars="200"/>
        <w:rPr>
          <w:rFonts w:eastAsiaTheme="minorEastAsia"/>
          <w:sz w:val="24"/>
          <w:szCs w:val="24"/>
        </w:rPr>
      </w:pPr>
      <w:r>
        <w:rPr>
          <w:rFonts w:eastAsiaTheme="minorEastAsia"/>
          <w:sz w:val="24"/>
        </w:rPr>
        <w:t>2.车间级公示</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建议地点：车间入口看板</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内容：安全风险四色图和较大风险清单</w:t>
      </w:r>
    </w:p>
    <w:p>
      <w:pPr>
        <w:pStyle w:val="2"/>
        <w:ind w:firstLine="494" w:firstLineChars="200"/>
        <w:rPr>
          <w:rFonts w:eastAsiaTheme="minorEastAsia"/>
          <w:sz w:val="24"/>
          <w:szCs w:val="24"/>
        </w:rPr>
      </w:pPr>
      <w:r>
        <w:rPr>
          <w:rFonts w:hint="eastAsia" w:eastAsiaTheme="minorEastAsia"/>
          <w:sz w:val="24"/>
          <w:szCs w:val="24"/>
        </w:rPr>
        <w:t>示例：</w:t>
      </w:r>
      <w:r>
        <w:rPr>
          <w:rFonts w:hint="eastAsia" w:eastAsiaTheme="minorEastAsia"/>
          <w:sz w:val="24"/>
        </w:rPr>
        <w:t>第十四章图</w:t>
      </w:r>
      <w:r>
        <w:rPr>
          <w:rFonts w:eastAsiaTheme="minorEastAsia"/>
          <w:sz w:val="24"/>
        </w:rPr>
        <w:t>14.5-7</w:t>
      </w:r>
    </w:p>
    <w:p>
      <w:pPr>
        <w:pStyle w:val="2"/>
        <w:adjustRightInd w:val="0"/>
        <w:snapToGrid w:val="0"/>
        <w:spacing w:after="0" w:line="360" w:lineRule="auto"/>
        <w:ind w:firstLine="494" w:firstLineChars="200"/>
        <w:contextualSpacing/>
        <w:jc w:val="left"/>
        <w:rPr>
          <w:rFonts w:eastAsiaTheme="minorEastAsia"/>
          <w:sz w:val="24"/>
          <w:szCs w:val="24"/>
        </w:rPr>
      </w:pPr>
      <w:r>
        <w:rPr>
          <w:rFonts w:hint="eastAsia" w:ascii="宋体" w:hAnsi="宋体" w:cs="宋体"/>
          <w:sz w:val="24"/>
          <w:szCs w:val="24"/>
        </w:rPr>
        <w:t>③</w:t>
      </w:r>
      <w:r>
        <w:rPr>
          <w:rFonts w:eastAsiaTheme="minorEastAsia"/>
          <w:sz w:val="24"/>
          <w:szCs w:val="24"/>
        </w:rPr>
        <w:t>岗位风险告知公示</w:t>
      </w:r>
    </w:p>
    <w:p>
      <w:pPr>
        <w:pStyle w:val="2"/>
        <w:adjustRightInd w:val="0"/>
        <w:snapToGrid w:val="0"/>
        <w:spacing w:after="0" w:line="360" w:lineRule="auto"/>
        <w:ind w:firstLine="494" w:firstLineChars="200"/>
        <w:contextualSpacing/>
        <w:jc w:val="left"/>
        <w:rPr>
          <w:rFonts w:eastAsiaTheme="minorEastAsia"/>
          <w:sz w:val="24"/>
          <w:szCs w:val="24"/>
        </w:rPr>
      </w:pPr>
      <w:r>
        <w:rPr>
          <w:rFonts w:eastAsiaTheme="minorEastAsia"/>
          <w:sz w:val="24"/>
          <w:szCs w:val="24"/>
        </w:rPr>
        <w:t>建议地点：在风险所处位置</w:t>
      </w:r>
    </w:p>
    <w:p>
      <w:pPr>
        <w:pStyle w:val="2"/>
        <w:adjustRightInd w:val="0"/>
        <w:snapToGrid w:val="0"/>
        <w:spacing w:after="0" w:line="360" w:lineRule="auto"/>
        <w:ind w:firstLine="494" w:firstLineChars="200"/>
        <w:contextualSpacing/>
        <w:jc w:val="left"/>
        <w:rPr>
          <w:rFonts w:eastAsiaTheme="minorEastAsia"/>
          <w:sz w:val="24"/>
        </w:rPr>
      </w:pPr>
      <w:r>
        <w:rPr>
          <w:rFonts w:eastAsiaTheme="minorEastAsia"/>
          <w:sz w:val="24"/>
          <w:szCs w:val="24"/>
        </w:rPr>
        <w:t>内容：由常州市风险管控系统自动生成的风险安全告知卡为准，企业要将系统导出的安全风险告知卡制作并进行公示。其中低风险和一般风险告知卡制作尺寸60cm*80cm，较大以上风险告知卡制作尺寸80cm*120cm。</w:t>
      </w:r>
    </w:p>
    <w:p>
      <w:pPr>
        <w:pStyle w:val="2"/>
        <w:adjustRightInd w:val="0"/>
        <w:snapToGrid w:val="0"/>
        <w:spacing w:after="0" w:line="360" w:lineRule="auto"/>
        <w:ind w:firstLine="494" w:firstLineChars="200"/>
        <w:contextualSpacing/>
        <w:jc w:val="left"/>
        <w:rPr>
          <w:rFonts w:eastAsiaTheme="minorEastAsia"/>
          <w:sz w:val="24"/>
          <w:szCs w:val="24"/>
        </w:rPr>
      </w:pPr>
      <w:r>
        <w:rPr>
          <w:rFonts w:hint="eastAsia" w:eastAsiaTheme="minorEastAsia"/>
          <w:sz w:val="24"/>
        </w:rPr>
        <w:t>示例：见第十四章</w:t>
      </w:r>
      <w:r>
        <w:rPr>
          <w:rFonts w:eastAsiaTheme="minorEastAsia"/>
          <w:sz w:val="24"/>
        </w:rPr>
        <w:t>14.5-8</w:t>
      </w:r>
    </w:p>
    <w:p>
      <w:pPr>
        <w:adjustRightInd w:val="0"/>
        <w:snapToGrid w:val="0"/>
        <w:spacing w:line="360" w:lineRule="auto"/>
        <w:ind w:firstLine="494" w:firstLineChars="200"/>
        <w:contextualSpacing/>
        <w:jc w:val="left"/>
        <w:outlineLvl w:val="1"/>
        <w:rPr>
          <w:rFonts w:cs="Times New Roman" w:eastAsiaTheme="minorEastAsia"/>
          <w:b/>
          <w:bCs/>
          <w:sz w:val="24"/>
        </w:rPr>
      </w:pPr>
      <w:r>
        <w:rPr>
          <w:rFonts w:cs="Times New Roman" w:eastAsiaTheme="minorEastAsia"/>
          <w:b/>
          <w:bCs/>
          <w:sz w:val="24"/>
        </w:rPr>
        <w:t>四、风险培训</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企业应每年开展风险培训；</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企业应当将安全风险辨识管控纳入年度安全生产教育培训计划并组织实施，定期开展安全风险辨识管控知识教育和技能培训，提高全员安全风险辨识管控意识和管控能力，保证从业人员了解本岗位安全风险基本情况，熟悉安全风险管控措施，掌握事故应急处置要点</w:t>
      </w:r>
      <w:bookmarkStart w:id="50" w:name="_Toc15862"/>
      <w:bookmarkStart w:id="51" w:name="_Toc31204"/>
      <w:bookmarkStart w:id="52" w:name="_Toc22319"/>
    </w:p>
    <w:bookmarkEnd w:id="50"/>
    <w:bookmarkEnd w:id="51"/>
    <w:bookmarkEnd w:id="52"/>
    <w:p>
      <w:pPr>
        <w:adjustRightInd w:val="0"/>
        <w:snapToGrid w:val="0"/>
        <w:spacing w:line="360" w:lineRule="auto"/>
        <w:contextualSpacing/>
        <w:jc w:val="left"/>
        <w:rPr>
          <w:rFonts w:cs="Times New Roman" w:eastAsiaTheme="minorEastAsia"/>
          <w:sz w:val="24"/>
        </w:rPr>
      </w:pPr>
      <w:r>
        <w:rPr>
          <w:rFonts w:hint="eastAsia" w:cs="Times New Roman" w:eastAsiaTheme="minorEastAsia"/>
          <w:b/>
          <w:bCs/>
          <w:sz w:val="24"/>
        </w:rPr>
        <w:t>释义：</w:t>
      </w:r>
    </w:p>
    <w:p>
      <w:pPr>
        <w:pStyle w:val="2"/>
        <w:adjustRightInd w:val="0"/>
        <w:snapToGrid w:val="0"/>
        <w:spacing w:after="0" w:line="360" w:lineRule="auto"/>
        <w:ind w:firstLine="494" w:firstLineChars="200"/>
        <w:contextualSpacing/>
        <w:jc w:val="left"/>
        <w:rPr>
          <w:rFonts w:eastAsiaTheme="minorEastAsia"/>
          <w:sz w:val="24"/>
          <w:szCs w:val="24"/>
        </w:rPr>
      </w:pPr>
      <w:r>
        <w:rPr>
          <w:rFonts w:eastAsiaTheme="minorEastAsia"/>
          <w:sz w:val="24"/>
          <w:szCs w:val="24"/>
        </w:rPr>
        <w:t>企业应当将安全风险辨识管控纳入年度安全生产教育培训计划并组织实施</w:t>
      </w:r>
      <w:r>
        <w:rPr>
          <w:rFonts w:hint="eastAsia" w:eastAsiaTheme="minorEastAsia"/>
          <w:sz w:val="24"/>
          <w:szCs w:val="24"/>
        </w:rPr>
        <w:t>（见图9</w:t>
      </w:r>
      <w:r>
        <w:rPr>
          <w:rFonts w:eastAsiaTheme="minorEastAsia"/>
          <w:sz w:val="24"/>
          <w:szCs w:val="24"/>
        </w:rPr>
        <w:t>.4</w:t>
      </w:r>
      <w:r>
        <w:rPr>
          <w:rFonts w:hint="eastAsia" w:eastAsiaTheme="minorEastAsia"/>
          <w:sz w:val="24"/>
          <w:szCs w:val="24"/>
        </w:rPr>
        <w:t>-</w:t>
      </w:r>
      <w:r>
        <w:rPr>
          <w:rFonts w:eastAsiaTheme="minorEastAsia"/>
          <w:sz w:val="24"/>
          <w:szCs w:val="24"/>
        </w:rPr>
        <w:t>1</w:t>
      </w:r>
      <w:r>
        <w:rPr>
          <w:rFonts w:hint="eastAsia" w:eastAsiaTheme="minorEastAsia"/>
          <w:sz w:val="24"/>
          <w:szCs w:val="24"/>
        </w:rPr>
        <w:t>）</w:t>
      </w:r>
      <w:r>
        <w:rPr>
          <w:rFonts w:eastAsiaTheme="minorEastAsia"/>
          <w:sz w:val="24"/>
          <w:szCs w:val="24"/>
        </w:rPr>
        <w:t>，定期开展安全风险辨识管控知识教育和技能培训</w:t>
      </w:r>
      <w:r>
        <w:rPr>
          <w:rFonts w:hint="eastAsia" w:eastAsiaTheme="minorEastAsia"/>
          <w:sz w:val="24"/>
          <w:szCs w:val="24"/>
        </w:rPr>
        <w:t>（记录表见表9</w:t>
      </w:r>
      <w:r>
        <w:rPr>
          <w:rFonts w:eastAsiaTheme="minorEastAsia"/>
          <w:sz w:val="24"/>
          <w:szCs w:val="24"/>
        </w:rPr>
        <w:t>.4</w:t>
      </w:r>
      <w:r>
        <w:rPr>
          <w:rFonts w:hint="eastAsia" w:eastAsiaTheme="minorEastAsia"/>
          <w:sz w:val="24"/>
          <w:szCs w:val="24"/>
        </w:rPr>
        <w:t>-</w:t>
      </w:r>
      <w:r>
        <w:rPr>
          <w:rFonts w:eastAsiaTheme="minorEastAsia"/>
          <w:sz w:val="24"/>
          <w:szCs w:val="24"/>
        </w:rPr>
        <w:t>1</w:t>
      </w:r>
      <w:r>
        <w:rPr>
          <w:rFonts w:hint="eastAsia" w:eastAsiaTheme="minorEastAsia"/>
          <w:sz w:val="24"/>
          <w:szCs w:val="24"/>
        </w:rPr>
        <w:t>）</w:t>
      </w:r>
      <w:r>
        <w:rPr>
          <w:rFonts w:eastAsiaTheme="minorEastAsia"/>
          <w:sz w:val="24"/>
          <w:szCs w:val="24"/>
        </w:rPr>
        <w:t>，提高全员安全风险辨识管控意识和管控能力，保证从业人员了解本岗位安全风险基本情况，熟悉安全风险管控措施，掌握事故应急处置要点。</w:t>
      </w:r>
    </w:p>
    <w:p>
      <w:pPr>
        <w:adjustRightInd w:val="0"/>
        <w:snapToGrid w:val="0"/>
        <w:spacing w:line="360" w:lineRule="auto"/>
        <w:ind w:left="-143" w:leftChars="-44" w:firstLine="143" w:firstLineChars="58"/>
        <w:contextualSpacing/>
        <w:jc w:val="center"/>
        <w:rPr>
          <w:rFonts w:cs="Times New Roman" w:eastAsiaTheme="minorEastAsia"/>
          <w:sz w:val="24"/>
        </w:rPr>
      </w:pPr>
      <w:r>
        <w:rPr>
          <w:rFonts w:cs="Times New Roman" w:eastAsiaTheme="minorEastAsia"/>
          <w:sz w:val="24"/>
        </w:rPr>
        <w:drawing>
          <wp:inline distT="0" distB="0" distL="0" distR="0">
            <wp:extent cx="3617595" cy="1105535"/>
            <wp:effectExtent l="0" t="0" r="1905" b="184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617595" cy="1105535"/>
                    </a:xfrm>
                    <a:prstGeom prst="rect">
                      <a:avLst/>
                    </a:prstGeom>
                  </pic:spPr>
                </pic:pic>
              </a:graphicData>
            </a:graphic>
          </wp:inline>
        </w:drawing>
      </w:r>
    </w:p>
    <w:p>
      <w:pPr>
        <w:pStyle w:val="2"/>
        <w:adjustRightInd w:val="0"/>
        <w:snapToGrid w:val="0"/>
        <w:spacing w:after="0" w:line="360" w:lineRule="auto"/>
        <w:contextualSpacing/>
        <w:jc w:val="center"/>
        <w:rPr>
          <w:rFonts w:eastAsiaTheme="minorEastAsia"/>
          <w:sz w:val="21"/>
          <w:szCs w:val="21"/>
        </w:rPr>
      </w:pPr>
      <w:r>
        <w:rPr>
          <w:rFonts w:hint="eastAsia" w:eastAsiaTheme="minorEastAsia"/>
          <w:sz w:val="21"/>
          <w:szCs w:val="21"/>
        </w:rPr>
        <w:t>图9</w:t>
      </w:r>
      <w:r>
        <w:rPr>
          <w:rFonts w:eastAsiaTheme="minorEastAsia"/>
          <w:sz w:val="21"/>
          <w:szCs w:val="21"/>
        </w:rPr>
        <w:t>.4</w:t>
      </w:r>
      <w:r>
        <w:rPr>
          <w:rFonts w:hint="eastAsia" w:eastAsiaTheme="minorEastAsia"/>
          <w:sz w:val="21"/>
          <w:szCs w:val="21"/>
        </w:rPr>
        <w:t>-</w:t>
      </w:r>
      <w:r>
        <w:rPr>
          <w:rFonts w:eastAsiaTheme="minorEastAsia"/>
          <w:sz w:val="21"/>
          <w:szCs w:val="21"/>
        </w:rPr>
        <w:t>1风险培训流程图</w:t>
      </w:r>
      <w:r>
        <w:rPr>
          <w:rFonts w:eastAsiaTheme="minorEastAsia"/>
          <w:sz w:val="21"/>
          <w:szCs w:val="21"/>
        </w:rPr>
        <w:br w:type="page"/>
      </w:r>
      <w:r>
        <w:rPr>
          <w:rFonts w:hint="eastAsia" w:eastAsiaTheme="minorEastAsia"/>
          <w:sz w:val="21"/>
          <w:szCs w:val="21"/>
        </w:rPr>
        <w:t>表9</w:t>
      </w:r>
      <w:r>
        <w:rPr>
          <w:rFonts w:eastAsiaTheme="minorEastAsia"/>
          <w:sz w:val="21"/>
          <w:szCs w:val="21"/>
        </w:rPr>
        <w:t>.4</w:t>
      </w:r>
      <w:r>
        <w:rPr>
          <w:rFonts w:hint="eastAsia" w:eastAsiaTheme="minorEastAsia"/>
          <w:sz w:val="21"/>
          <w:szCs w:val="21"/>
        </w:rPr>
        <w:t>-</w:t>
      </w:r>
      <w:r>
        <w:rPr>
          <w:rFonts w:eastAsiaTheme="minorEastAsia"/>
          <w:sz w:val="21"/>
          <w:szCs w:val="21"/>
        </w:rPr>
        <w:t>1风险培训记录及效果评价表示例</w:t>
      </w:r>
    </w:p>
    <w:p>
      <w:pPr>
        <w:pStyle w:val="2"/>
        <w:adjustRightInd w:val="0"/>
        <w:snapToGrid w:val="0"/>
        <w:spacing w:after="0" w:line="360" w:lineRule="auto"/>
        <w:contextualSpacing/>
        <w:jc w:val="center"/>
        <w:rPr>
          <w:rFonts w:eastAsiaTheme="minorEastAsia"/>
          <w:sz w:val="24"/>
          <w:szCs w:val="24"/>
        </w:rPr>
      </w:pPr>
      <w:r>
        <w:rPr>
          <w:rFonts w:eastAsiaTheme="minorEastAsia"/>
          <w:sz w:val="24"/>
          <w:szCs w:val="24"/>
        </w:rPr>
        <w:drawing>
          <wp:inline distT="0" distB="0" distL="0" distR="0">
            <wp:extent cx="3361690" cy="4547870"/>
            <wp:effectExtent l="0" t="0" r="0"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57"/>
                    <a:srcRect l="4769" r="4925"/>
                    <a:stretch>
                      <a:fillRect/>
                    </a:stretch>
                  </pic:blipFill>
                  <pic:spPr>
                    <a:xfrm>
                      <a:off x="0" y="0"/>
                      <a:ext cx="3382331" cy="4575620"/>
                    </a:xfrm>
                    <a:prstGeom prst="rect">
                      <a:avLst/>
                    </a:prstGeom>
                    <a:ln>
                      <a:noFill/>
                    </a:ln>
                  </pic:spPr>
                </pic:pic>
              </a:graphicData>
            </a:graphic>
          </wp:inline>
        </w:drawing>
      </w:r>
    </w:p>
    <w:p>
      <w:pPr>
        <w:adjustRightInd w:val="0"/>
        <w:snapToGrid w:val="0"/>
        <w:spacing w:line="360" w:lineRule="auto"/>
        <w:ind w:firstLine="494" w:firstLineChars="200"/>
        <w:contextualSpacing/>
        <w:jc w:val="left"/>
        <w:outlineLvl w:val="1"/>
        <w:rPr>
          <w:rFonts w:cs="Times New Roman" w:eastAsiaTheme="minorEastAsia"/>
          <w:b/>
          <w:bCs/>
          <w:sz w:val="24"/>
        </w:rPr>
      </w:pPr>
      <w:r>
        <w:rPr>
          <w:rFonts w:cs="Times New Roman" w:eastAsiaTheme="minorEastAsia"/>
          <w:b/>
          <w:bCs/>
          <w:sz w:val="24"/>
        </w:rPr>
        <w:t>五、重大危险源管理</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涉及重大危险源的应按照国家安全生产监督管理总局令第40号《危险化学品重大危险源监督管理暂行规定》开展重大危险源管理；</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定期委托有资质单位开展安全评价。</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应当对辨识确认的重大危险源及时、逐项进行登记建档。</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对重大危险源的安全生产状况进行定期检查，及时采取措施消除事故隐患。</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应当对重大危险源的管理和操作岗位人员进行安全操作技能培训，使其了解重大危险源的危险特性，熟悉重大危险源安全管理规章制度和安全操作规程，掌握本岗位的安全操作技能和应急措施。</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在重大危险源所在场所设置明显的安全警示标志，写明紧急情况下的应急处置办法。</w:t>
      </w:r>
    </w:p>
    <w:p>
      <w:pPr>
        <w:adjustRightInd w:val="0"/>
        <w:snapToGrid w:val="0"/>
        <w:spacing w:line="360" w:lineRule="auto"/>
        <w:ind w:firstLine="494" w:firstLineChars="200"/>
        <w:contextualSpacing/>
        <w:jc w:val="left"/>
        <w:rPr>
          <w:rFonts w:cs="Times New Roman" w:eastAsiaTheme="minorEastAsia"/>
          <w:sz w:val="24"/>
        </w:rPr>
      </w:pPr>
      <w:r>
        <w:rPr>
          <w:rFonts w:cs="Times New Roman" w:eastAsiaTheme="minorEastAsia"/>
          <w:sz w:val="24"/>
        </w:rPr>
        <w:t>制定重大危险源事故应急预案，建立应急救援组织或者配备应急救援人员，配备必要的防护装备及应急救援器材、设备、物资，并保障其完好和方便使用。</w:t>
      </w:r>
      <w:bookmarkStart w:id="53" w:name="_Toc17047"/>
      <w:bookmarkStart w:id="54" w:name="_Toc31013"/>
      <w:bookmarkStart w:id="55" w:name="_Toc9368"/>
    </w:p>
    <w:bookmarkEnd w:id="53"/>
    <w:bookmarkEnd w:id="54"/>
    <w:bookmarkEnd w:id="55"/>
    <w:p>
      <w:pPr>
        <w:adjustRightInd w:val="0"/>
        <w:snapToGrid w:val="0"/>
        <w:spacing w:line="360" w:lineRule="auto"/>
        <w:contextualSpacing/>
        <w:jc w:val="left"/>
        <w:rPr>
          <w:rFonts w:cs="Times New Roman" w:eastAsiaTheme="minorEastAsia"/>
          <w:sz w:val="24"/>
        </w:rPr>
      </w:pPr>
      <w:r>
        <w:rPr>
          <w:rFonts w:hint="eastAsia" w:cs="Times New Roman" w:eastAsiaTheme="minorEastAsia"/>
          <w:b/>
          <w:bCs/>
          <w:sz w:val="24"/>
        </w:rPr>
        <w:t>释义：</w:t>
      </w:r>
    </w:p>
    <w:p>
      <w:pPr>
        <w:pStyle w:val="2"/>
        <w:adjustRightInd w:val="0"/>
        <w:snapToGrid w:val="0"/>
        <w:spacing w:after="0" w:line="360" w:lineRule="auto"/>
        <w:ind w:firstLine="494" w:firstLineChars="200"/>
        <w:contextualSpacing/>
        <w:jc w:val="left"/>
        <w:rPr>
          <w:rFonts w:eastAsiaTheme="minorEastAsia"/>
          <w:sz w:val="24"/>
          <w:szCs w:val="24"/>
        </w:rPr>
      </w:pPr>
      <w:r>
        <w:rPr>
          <w:rFonts w:eastAsiaTheme="minorEastAsia"/>
          <w:sz w:val="24"/>
          <w:szCs w:val="24"/>
        </w:rPr>
        <w:t>（一）备案管理</w:t>
      </w:r>
    </w:p>
    <w:p>
      <w:pPr>
        <w:pStyle w:val="2"/>
        <w:adjustRightInd w:val="0"/>
        <w:snapToGrid w:val="0"/>
        <w:spacing w:after="0" w:line="360" w:lineRule="auto"/>
        <w:ind w:firstLine="494" w:firstLineChars="200"/>
        <w:contextualSpacing/>
        <w:rPr>
          <w:rFonts w:eastAsiaTheme="minorEastAsia"/>
          <w:sz w:val="24"/>
          <w:szCs w:val="24"/>
        </w:rPr>
      </w:pPr>
      <w:r>
        <w:rPr>
          <w:rFonts w:eastAsiaTheme="minorEastAsia"/>
          <w:sz w:val="24"/>
          <w:szCs w:val="24"/>
        </w:rPr>
        <w:t>建档包含11项内容</w:t>
      </w:r>
      <w:r>
        <w:rPr>
          <w:rFonts w:hint="eastAsia" w:eastAsiaTheme="minorEastAsia"/>
          <w:sz w:val="24"/>
          <w:szCs w:val="24"/>
        </w:rPr>
        <w:t>（见图9</w:t>
      </w:r>
      <w:r>
        <w:rPr>
          <w:rFonts w:eastAsiaTheme="minorEastAsia"/>
          <w:sz w:val="24"/>
          <w:szCs w:val="24"/>
        </w:rPr>
        <w:t>.5</w:t>
      </w:r>
      <w:r>
        <w:rPr>
          <w:rFonts w:hint="eastAsia" w:eastAsiaTheme="minorEastAsia"/>
          <w:sz w:val="24"/>
          <w:szCs w:val="24"/>
        </w:rPr>
        <w:t>-</w:t>
      </w:r>
      <w:r>
        <w:rPr>
          <w:rFonts w:eastAsiaTheme="minorEastAsia"/>
          <w:sz w:val="24"/>
          <w:szCs w:val="24"/>
        </w:rPr>
        <w:t>1</w:t>
      </w:r>
      <w:r>
        <w:rPr>
          <w:rFonts w:hint="eastAsia" w:eastAsiaTheme="minorEastAsia"/>
          <w:sz w:val="24"/>
          <w:szCs w:val="24"/>
        </w:rPr>
        <w:t>）</w:t>
      </w:r>
      <w:r>
        <w:rPr>
          <w:rFonts w:eastAsiaTheme="minorEastAsia"/>
          <w:sz w:val="24"/>
          <w:szCs w:val="24"/>
        </w:rPr>
        <w:t>，企业在完成重大危险源安全评估报告或者安全评价报告后15日内，应当填写重大危险源备案申请表，连同重大危险源档案材料，报送所在地县级人民政府应急管理部门备案。</w:t>
      </w:r>
    </w:p>
    <w:p>
      <w:pPr>
        <w:pStyle w:val="2"/>
        <w:adjustRightInd w:val="0"/>
        <w:snapToGrid w:val="0"/>
        <w:spacing w:after="0" w:line="360" w:lineRule="auto"/>
        <w:ind w:firstLine="434" w:firstLineChars="200"/>
        <w:contextualSpacing/>
        <w:rPr>
          <w:sz w:val="24"/>
          <w:szCs w:val="24"/>
        </w:rPr>
      </w:pPr>
      <w:r>
        <w:rPr>
          <w:sz w:val="21"/>
          <w:szCs w:val="21"/>
        </w:rPr>
        <mc:AlternateContent>
          <mc:Choice Requires="wps">
            <w:drawing>
              <wp:anchor distT="0" distB="0" distL="114300" distR="114300" simplePos="0" relativeHeight="251684864" behindDoc="0" locked="0" layoutInCell="1" allowOverlap="1">
                <wp:simplePos x="0" y="0"/>
                <wp:positionH relativeFrom="column">
                  <wp:posOffset>871220</wp:posOffset>
                </wp:positionH>
                <wp:positionV relativeFrom="paragraph">
                  <wp:posOffset>156210</wp:posOffset>
                </wp:positionV>
                <wp:extent cx="2145665" cy="299085"/>
                <wp:effectExtent l="0" t="0" r="26035" b="24765"/>
                <wp:wrapNone/>
                <wp:docPr id="21" name="矩形: 剪去对角 3"/>
                <wp:cNvGraphicFramePr/>
                <a:graphic xmlns:a="http://schemas.openxmlformats.org/drawingml/2006/main">
                  <a:graphicData uri="http://schemas.microsoft.com/office/word/2010/wordprocessingShape">
                    <wps:wsp>
                      <wps:cNvSpPr/>
                      <wps:spPr>
                        <a:xfrm>
                          <a:off x="0" y="0"/>
                          <a:ext cx="2145665" cy="299085"/>
                        </a:xfrm>
                        <a:prstGeom prst="snip2DiagRect">
                          <a:avLst/>
                        </a:prstGeom>
                        <a:solidFill>
                          <a:srgbClr val="5B9BD5"/>
                        </a:solidFill>
                        <a:ln w="12700" cap="flat" cmpd="sng" algn="ctr">
                          <a:solidFill>
                            <a:srgbClr val="5B9BD5">
                              <a:shade val="50000"/>
                            </a:srgbClr>
                          </a:solidFill>
                          <a:prstDash val="solid"/>
                          <a:miter lim="800000"/>
                        </a:ln>
                        <a:effectLst/>
                      </wps:spPr>
                      <wps:txbx>
                        <w:txbxContent>
                          <w:p>
                            <w:pPr>
                              <w:snapToGrid w:val="0"/>
                              <w:contextualSpacing/>
                              <w:jc w:val="center"/>
                              <w:rPr>
                                <w:rFonts w:hAnsi="等线" w:asciiTheme="minorHAnsi" w:eastAsiaTheme="minorEastAsia"/>
                                <w:color w:val="FFFFFF" w:themeColor="light1"/>
                                <w:kern w:val="24"/>
                                <w:sz w:val="21"/>
                                <w:szCs w:val="21"/>
                                <w14:textFill>
                                  <w14:solidFill>
                                    <w14:schemeClr w14:val="lt1"/>
                                  </w14:solidFill>
                                </w14:textFill>
                              </w:rPr>
                            </w:pPr>
                            <w:r>
                              <w:rPr>
                                <w:rFonts w:hint="eastAsia" w:hAnsi="等线" w:asciiTheme="minorHAnsi" w:eastAsiaTheme="minorEastAsia"/>
                                <w:color w:val="FFFFFF" w:themeColor="light1"/>
                                <w:kern w:val="24"/>
                                <w:sz w:val="21"/>
                                <w:szCs w:val="21"/>
                                <w14:textFill>
                                  <w14:solidFill>
                                    <w14:schemeClr w14:val="lt1"/>
                                  </w14:solidFill>
                                </w14:textFill>
                              </w:rPr>
                              <w:t>每三年一次安全评估或评价</w:t>
                            </w:r>
                          </w:p>
                        </w:txbxContent>
                      </wps:txbx>
                      <wps:bodyPr wrap="square" rtlCol="0" anchor="ctr">
                        <a:noAutofit/>
                      </wps:bodyPr>
                    </wps:wsp>
                  </a:graphicData>
                </a:graphic>
              </wp:anchor>
            </w:drawing>
          </mc:Choice>
          <mc:Fallback>
            <w:pict>
              <v:shape id="矩形: 剪去对角 3" o:spid="_x0000_s1026" style="position:absolute;left:0pt;margin-left:68.6pt;margin-top:12.3pt;height:23.55pt;width:168.95pt;z-index:251684864;v-text-anchor:middle;mso-width-relative:page;mso-height-relative:page;" fillcolor="#5B9BD5" filled="t" stroked="t" coordsize="2145665,299085" o:gfxdata="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&#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qHpML2QAAAAkBAAAPAAAAAAAAAAEAIAAAACIAAABk&#10;cnMvZG93bnJldi54bWxQSwECFAAUAAAACACHTuJArszhUj4CAABpBAAADgAAAAAAAAABACAAAAAo&#10;AQAAZHJzL2Uyb0RvYy54bWxQSwUGAAAAAAYABgBZAQAA2AUAAAAA&#10;" path="m0,0l2095816,0,2145665,49848,2145665,299085,2145665,299085,49848,299085,0,249236,0,0xe">
                <v:path textboxrect="0,0,2145665,299085" o:connectlocs="2145665,149542;1072832,299085;0,149542;1072832,0" o:connectangles="0,82,164,247"/>
                <v:fill on="t" focussize="0,0"/>
                <v:stroke weight="1pt" color="#41719C" miterlimit="8" joinstyle="miter"/>
                <v:imagedata o:title=""/>
                <o:lock v:ext="edit" aspectratio="f"/>
                <v:textbox>
                  <w:txbxContent>
                    <w:p>
                      <w:pPr>
                        <w:snapToGrid w:val="0"/>
                        <w:contextualSpacing/>
                        <w:jc w:val="center"/>
                        <w:rPr>
                          <w:rFonts w:hAnsi="等线" w:asciiTheme="minorHAnsi" w:eastAsiaTheme="minorEastAsia"/>
                          <w:color w:val="FFFFFF" w:themeColor="light1"/>
                          <w:kern w:val="24"/>
                          <w:sz w:val="21"/>
                          <w:szCs w:val="21"/>
                          <w14:textFill>
                            <w14:solidFill>
                              <w14:schemeClr w14:val="lt1"/>
                            </w14:solidFill>
                          </w14:textFill>
                        </w:rPr>
                      </w:pPr>
                      <w:r>
                        <w:rPr>
                          <w:rFonts w:hint="eastAsia" w:hAnsi="等线" w:asciiTheme="minorHAnsi" w:eastAsiaTheme="minorEastAsia"/>
                          <w:color w:val="FFFFFF" w:themeColor="light1"/>
                          <w:kern w:val="24"/>
                          <w:sz w:val="21"/>
                          <w:szCs w:val="21"/>
                          <w14:textFill>
                            <w14:solidFill>
                              <w14:schemeClr w14:val="lt1"/>
                            </w14:solidFill>
                          </w14:textFill>
                        </w:rPr>
                        <w:t>每三年一次安全评估或评价</w:t>
                      </w:r>
                    </w:p>
                  </w:txbxContent>
                </v:textbox>
              </v:shape>
            </w:pict>
          </mc:Fallback>
        </mc:AlternateContent>
      </w:r>
    </w:p>
    <w:p>
      <w:pPr>
        <w:pStyle w:val="2"/>
        <w:adjustRightInd w:val="0"/>
        <w:snapToGrid w:val="0"/>
        <w:spacing w:after="0" w:line="360" w:lineRule="auto"/>
        <w:ind w:firstLine="434" w:firstLineChars="200"/>
        <w:contextualSpacing/>
        <w:rPr>
          <w:sz w:val="21"/>
          <w:szCs w:val="21"/>
        </w:rPr>
      </w:pPr>
      <w:r>
        <w:rPr>
          <w:sz w:val="21"/>
          <w:szCs w:val="21"/>
        </w:rPr>
        <mc:AlternateContent>
          <mc:Choice Requires="wps">
            <w:drawing>
              <wp:anchor distT="0" distB="0" distL="114300" distR="114300" simplePos="0" relativeHeight="251682816" behindDoc="0" locked="0" layoutInCell="1" allowOverlap="1">
                <wp:simplePos x="0" y="0"/>
                <wp:positionH relativeFrom="column">
                  <wp:posOffset>1878330</wp:posOffset>
                </wp:positionH>
                <wp:positionV relativeFrom="paragraph">
                  <wp:posOffset>192405</wp:posOffset>
                </wp:positionV>
                <wp:extent cx="125095" cy="265430"/>
                <wp:effectExtent l="19050" t="0" r="46355" b="39370"/>
                <wp:wrapNone/>
                <wp:docPr id="25" name="箭头: 下 25"/>
                <wp:cNvGraphicFramePr/>
                <a:graphic xmlns:a="http://schemas.openxmlformats.org/drawingml/2006/main">
                  <a:graphicData uri="http://schemas.microsoft.com/office/word/2010/wordprocessingShape">
                    <wps:wsp>
                      <wps:cNvSpPr/>
                      <wps:spPr>
                        <a:xfrm>
                          <a:off x="0" y="0"/>
                          <a:ext cx="125095" cy="265430"/>
                        </a:xfrm>
                        <a:prstGeom prst="downArrow">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25" o:spid="_x0000_s1026" o:spt="67" type="#_x0000_t67" style="position:absolute;left:0pt;margin-left:147.9pt;margin-top:15.15pt;height:20.9pt;width:9.85pt;z-index:251682816;v-text-anchor:middle;mso-width-relative:page;mso-height-relative:page;" fillcolor="#ED7D31" filled="t" stroked="t" coordsize="21600,21600" o:gfxdata="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JXlF6tcAAAAJAQAADwAAAAAAAAABACAAAAAiAAAAZHJzL2Rvd25yZXYueG1sUEsBAhQAFAAAAAgA&#10;h07iQAKHKnWYAgAALgUAAA4AAAAAAAAAAQAgAAAAJgEAAGRycy9lMm9Eb2MueG1sUEsFBgAAAAAG&#10;AAYAWQEAADAGAAAAAA==&#10;" adj="16511,5400">
                <v:fill on="t" focussize="0,0"/>
                <v:stroke weight="1pt" color="#41719C" miterlimit="8" joinstyle="miter"/>
                <v:imagedata o:title=""/>
                <o:lock v:ext="edit" aspectratio="f"/>
              </v:shape>
            </w:pict>
          </mc:Fallback>
        </mc:AlternateContent>
      </w:r>
    </w:p>
    <w:p>
      <w:pPr>
        <w:pStyle w:val="2"/>
        <w:adjustRightInd w:val="0"/>
        <w:snapToGrid w:val="0"/>
        <w:spacing w:after="0" w:line="360" w:lineRule="auto"/>
        <w:ind w:firstLine="434" w:firstLineChars="200"/>
        <w:contextualSpacing/>
        <w:rPr>
          <w:sz w:val="21"/>
          <w:szCs w:val="21"/>
        </w:rPr>
      </w:pPr>
    </w:p>
    <w:p>
      <w:pPr>
        <w:pStyle w:val="2"/>
        <w:adjustRightInd w:val="0"/>
        <w:snapToGrid w:val="0"/>
        <w:spacing w:after="0" w:line="360" w:lineRule="auto"/>
        <w:contextualSpacing/>
        <w:rPr>
          <w:sz w:val="21"/>
          <w:szCs w:val="21"/>
        </w:rPr>
      </w:pPr>
      <w:r>
        <w:rPr>
          <w:sz w:val="21"/>
          <w:szCs w:val="21"/>
        </w:rPr>
        <mc:AlternateContent>
          <mc:Choice Requires="wps">
            <w:drawing>
              <wp:anchor distT="0" distB="0" distL="114300" distR="114300" simplePos="0" relativeHeight="251683840" behindDoc="0" locked="0" layoutInCell="1" allowOverlap="1">
                <wp:simplePos x="0" y="0"/>
                <wp:positionH relativeFrom="column">
                  <wp:posOffset>1875790</wp:posOffset>
                </wp:positionH>
                <wp:positionV relativeFrom="paragraph">
                  <wp:posOffset>1835785</wp:posOffset>
                </wp:positionV>
                <wp:extent cx="125730" cy="266065"/>
                <wp:effectExtent l="19050" t="0" r="46355" b="39370"/>
                <wp:wrapNone/>
                <wp:docPr id="17" name="箭头: 下 17"/>
                <wp:cNvGraphicFramePr/>
                <a:graphic xmlns:a="http://schemas.openxmlformats.org/drawingml/2006/main">
                  <a:graphicData uri="http://schemas.microsoft.com/office/word/2010/wordprocessingShape">
                    <wps:wsp>
                      <wps:cNvSpPr/>
                      <wps:spPr>
                        <a:xfrm>
                          <a:off x="0" y="0"/>
                          <a:ext cx="125633" cy="266025"/>
                        </a:xfrm>
                        <a:prstGeom prst="downArrow">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17" o:spid="_x0000_s1026" o:spt="67" type="#_x0000_t67" style="position:absolute;left:0pt;margin-left:147.7pt;margin-top:144.55pt;height:20.95pt;width:9.9pt;z-index:251683840;v-text-anchor:middle;mso-width-relative:page;mso-height-relative:page;" fillcolor="#ED7D31" filled="t" stroked="t" coordsize="21600,21600" o:gfxdata="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TXkxm9sAAAALAQAADwAAAAAAAAABACAAAAAiAAAAZHJzL2Rvd25yZXYueG1sUEsBAhQAFAAA&#10;AAgAh07iQOvkLnuXAgAALgUAAA4AAAAAAAAAAQAgAAAAKgEAAGRycy9lMm9Eb2MueG1sUEsFBgAA&#10;AAAGAAYAWQEAADMGAAAAAA==&#10;" adj="16500,5400">
                <v:fill on="t" focussize="0,0"/>
                <v:stroke weight="1pt" color="#41719C" miterlimit="8" joinstyle="miter"/>
                <v:imagedata o:title=""/>
                <o:lock v:ext="edit" aspectratio="f"/>
              </v:shape>
            </w:pict>
          </mc:Fallback>
        </mc:AlternateContent>
      </w:r>
      <w:r>
        <w:rPr>
          <w:sz w:val="21"/>
          <w:szCs w:val="21"/>
        </w:rPr>
        <w:drawing>
          <wp:inline distT="0" distB="0" distL="0" distR="0">
            <wp:extent cx="3994150" cy="1821180"/>
            <wp:effectExtent l="0" t="0" r="635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001391" cy="1824696"/>
                    </a:xfrm>
                    <a:prstGeom prst="rect">
                      <a:avLst/>
                    </a:prstGeom>
                  </pic:spPr>
                </pic:pic>
              </a:graphicData>
            </a:graphic>
          </wp:inline>
        </w:drawing>
      </w:r>
    </w:p>
    <w:p>
      <w:pPr>
        <w:pStyle w:val="2"/>
        <w:adjustRightInd w:val="0"/>
        <w:snapToGrid w:val="0"/>
        <w:spacing w:after="0" w:line="360" w:lineRule="auto"/>
        <w:contextualSpacing/>
        <w:rPr>
          <w:sz w:val="21"/>
          <w:szCs w:val="21"/>
        </w:rPr>
      </w:pPr>
      <w:r>
        <w:rPr>
          <w:sz w:val="21"/>
          <w:szCs w:val="21"/>
        </w:rPr>
        <mc:AlternateContent>
          <mc:Choice Requires="wps">
            <w:drawing>
              <wp:anchor distT="0" distB="0" distL="114300" distR="114300" simplePos="0" relativeHeight="251681792" behindDoc="0" locked="0" layoutInCell="1" allowOverlap="1">
                <wp:simplePos x="0" y="0"/>
                <wp:positionH relativeFrom="column">
                  <wp:posOffset>1090295</wp:posOffset>
                </wp:positionH>
                <wp:positionV relativeFrom="paragraph">
                  <wp:posOffset>216535</wp:posOffset>
                </wp:positionV>
                <wp:extent cx="1760220" cy="329565"/>
                <wp:effectExtent l="0" t="0" r="11430" b="13335"/>
                <wp:wrapNone/>
                <wp:docPr id="22" name="矩形: 剪去对角 10"/>
                <wp:cNvGraphicFramePr/>
                <a:graphic xmlns:a="http://schemas.openxmlformats.org/drawingml/2006/main">
                  <a:graphicData uri="http://schemas.microsoft.com/office/word/2010/wordprocessingShape">
                    <wps:wsp>
                      <wps:cNvSpPr/>
                      <wps:spPr>
                        <a:xfrm>
                          <a:off x="0" y="0"/>
                          <a:ext cx="1760220" cy="329565"/>
                        </a:xfrm>
                        <a:prstGeom prst="snip2DiagRect">
                          <a:avLst/>
                        </a:prstGeom>
                        <a:solidFill>
                          <a:srgbClr val="5B9BD5"/>
                        </a:solidFill>
                        <a:ln w="12700" cap="flat" cmpd="sng" algn="ctr">
                          <a:solidFill>
                            <a:srgbClr val="5B9BD5">
                              <a:shade val="50000"/>
                            </a:srgbClr>
                          </a:solidFill>
                          <a:prstDash val="solid"/>
                          <a:miter lim="800000"/>
                        </a:ln>
                        <a:effectLst/>
                      </wps:spPr>
                      <wps:txbx>
                        <w:txbxContent>
                          <w:p>
                            <w:pPr>
                              <w:snapToGrid w:val="0"/>
                              <w:contextualSpacing/>
                              <w:jc w:val="center"/>
                              <w:rPr>
                                <w:rFonts w:hAnsi="等线" w:asciiTheme="minorHAnsi" w:eastAsiaTheme="minorEastAsia"/>
                                <w:color w:val="FFFFFF" w:themeColor="light1"/>
                                <w:kern w:val="24"/>
                                <w:sz w:val="21"/>
                                <w:szCs w:val="21"/>
                                <w14:textFill>
                                  <w14:solidFill>
                                    <w14:schemeClr w14:val="lt1"/>
                                  </w14:solidFill>
                                </w14:textFill>
                              </w:rPr>
                            </w:pPr>
                            <w:r>
                              <w:rPr>
                                <w:rFonts w:hint="eastAsia" w:hAnsi="等线" w:asciiTheme="minorHAnsi" w:eastAsiaTheme="minorEastAsia"/>
                                <w:color w:val="FFFFFF" w:themeColor="light1"/>
                                <w:kern w:val="24"/>
                                <w:sz w:val="21"/>
                                <w:szCs w:val="21"/>
                                <w14:textFill>
                                  <w14:solidFill>
                                    <w14:schemeClr w14:val="lt1"/>
                                  </w14:solidFill>
                                </w14:textFill>
                              </w:rPr>
                              <w:t>备案</w:t>
                            </w:r>
                          </w:p>
                        </w:txbxContent>
                      </wps:txbx>
                      <wps:bodyPr wrap="square" rtlCol="0" anchor="ctr">
                        <a:noAutofit/>
                      </wps:bodyPr>
                    </wps:wsp>
                  </a:graphicData>
                </a:graphic>
              </wp:anchor>
            </w:drawing>
          </mc:Choice>
          <mc:Fallback>
            <w:pict>
              <v:shape id="矩形: 剪去对角 10" o:spid="_x0000_s1026" style="position:absolute;left:0pt;margin-left:85.85pt;margin-top:17.05pt;height:25.95pt;width:138.6pt;z-index:251681792;v-text-anchor:middle;mso-width-relative:page;mso-height-relative:page;" fillcolor="#5B9BD5" filled="t" stroked="t" coordsize="1760220,329565" o:gfxdata="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HTl7tkAAAAJAQAADwAAAAAAAAABACAAAAAiAAAAZHJz&#10;L2Rvd25yZXYueG1sUEsBAhQAFAAAAAgAh07iQFwafQg8AgAAagQAAA4AAAAAAAAAAQAgAAAAKAEA&#10;AGRycy9lMm9Eb2MueG1sUEsFBgAAAAAGAAYAWQEAANYFAAAAAA==&#10;" path="m0,0l1705291,0,1760220,54928,1760220,329565,1760220,329565,54928,329565,0,274636,0,0xe">
                <v:path textboxrect="0,0,1760220,329565" o:connectlocs="1760220,164782;880110,329565;0,164782;880110,0" o:connectangles="0,82,164,247"/>
                <v:fill on="t" focussize="0,0"/>
                <v:stroke weight="1pt" color="#41719C" miterlimit="8" joinstyle="miter"/>
                <v:imagedata o:title=""/>
                <o:lock v:ext="edit" aspectratio="f"/>
                <v:textbox>
                  <w:txbxContent>
                    <w:p>
                      <w:pPr>
                        <w:snapToGrid w:val="0"/>
                        <w:contextualSpacing/>
                        <w:jc w:val="center"/>
                        <w:rPr>
                          <w:rFonts w:hAnsi="等线" w:asciiTheme="minorHAnsi" w:eastAsiaTheme="minorEastAsia"/>
                          <w:color w:val="FFFFFF" w:themeColor="light1"/>
                          <w:kern w:val="24"/>
                          <w:sz w:val="21"/>
                          <w:szCs w:val="21"/>
                          <w14:textFill>
                            <w14:solidFill>
                              <w14:schemeClr w14:val="lt1"/>
                            </w14:solidFill>
                          </w14:textFill>
                        </w:rPr>
                      </w:pPr>
                      <w:r>
                        <w:rPr>
                          <w:rFonts w:hint="eastAsia" w:hAnsi="等线" w:asciiTheme="minorHAnsi" w:eastAsiaTheme="minorEastAsia"/>
                          <w:color w:val="FFFFFF" w:themeColor="light1"/>
                          <w:kern w:val="24"/>
                          <w:sz w:val="21"/>
                          <w:szCs w:val="21"/>
                          <w14:textFill>
                            <w14:solidFill>
                              <w14:schemeClr w14:val="lt1"/>
                            </w14:solidFill>
                          </w14:textFill>
                        </w:rPr>
                        <w:t>备案</w:t>
                      </w:r>
                    </w:p>
                  </w:txbxContent>
                </v:textbox>
              </v:shape>
            </w:pict>
          </mc:Fallback>
        </mc:AlternateContent>
      </w:r>
    </w:p>
    <w:p>
      <w:pPr>
        <w:pStyle w:val="2"/>
        <w:adjustRightInd w:val="0"/>
        <w:snapToGrid w:val="0"/>
        <w:spacing w:after="0" w:line="360" w:lineRule="auto"/>
        <w:contextualSpacing/>
      </w:pPr>
    </w:p>
    <w:p>
      <w:pPr>
        <w:pStyle w:val="2"/>
        <w:adjustRightInd w:val="0"/>
        <w:snapToGrid w:val="0"/>
        <w:spacing w:after="0" w:line="360" w:lineRule="auto"/>
        <w:contextualSpacing/>
        <w:jc w:val="left"/>
        <w:rPr>
          <w:rFonts w:eastAsiaTheme="minorEastAsia"/>
          <w:sz w:val="24"/>
          <w:szCs w:val="24"/>
        </w:rPr>
      </w:pPr>
    </w:p>
    <w:p>
      <w:pPr>
        <w:pStyle w:val="2"/>
        <w:adjustRightInd w:val="0"/>
        <w:snapToGrid w:val="0"/>
        <w:spacing w:after="0" w:line="360" w:lineRule="auto"/>
        <w:contextualSpacing/>
        <w:jc w:val="center"/>
        <w:rPr>
          <w:rFonts w:eastAsiaTheme="minorEastAsia"/>
          <w:sz w:val="21"/>
          <w:szCs w:val="21"/>
        </w:rPr>
      </w:pPr>
      <w:r>
        <w:rPr>
          <w:rFonts w:hint="eastAsia" w:eastAsiaTheme="minorEastAsia"/>
          <w:sz w:val="21"/>
          <w:szCs w:val="21"/>
        </w:rPr>
        <w:t>图9</w:t>
      </w:r>
      <w:r>
        <w:rPr>
          <w:rFonts w:eastAsiaTheme="minorEastAsia"/>
          <w:sz w:val="21"/>
          <w:szCs w:val="21"/>
        </w:rPr>
        <w:t>.5</w:t>
      </w:r>
      <w:r>
        <w:rPr>
          <w:rFonts w:hint="eastAsia" w:eastAsiaTheme="minorEastAsia"/>
          <w:sz w:val="21"/>
          <w:szCs w:val="21"/>
        </w:rPr>
        <w:t>-</w:t>
      </w:r>
      <w:r>
        <w:rPr>
          <w:rFonts w:eastAsiaTheme="minorEastAsia"/>
          <w:sz w:val="21"/>
          <w:szCs w:val="21"/>
        </w:rPr>
        <w:t>1重大危险源备案管理流程图</w:t>
      </w:r>
    </w:p>
    <w:p>
      <w:pPr>
        <w:pStyle w:val="2"/>
        <w:adjustRightInd w:val="0"/>
        <w:snapToGrid w:val="0"/>
        <w:spacing w:after="0" w:line="360" w:lineRule="auto"/>
        <w:ind w:firstLine="494" w:firstLineChars="200"/>
        <w:contextualSpacing/>
        <w:rPr>
          <w:sz w:val="24"/>
          <w:szCs w:val="24"/>
        </w:rPr>
      </w:pPr>
      <w:r>
        <w:rPr>
          <w:sz w:val="24"/>
          <w:szCs w:val="24"/>
        </w:rPr>
        <w:t>（二）日常管理</w:t>
      </w:r>
    </w:p>
    <w:p>
      <w:pPr>
        <w:pStyle w:val="2"/>
        <w:tabs>
          <w:tab w:val="left" w:pos="709"/>
        </w:tabs>
        <w:adjustRightInd w:val="0"/>
        <w:snapToGrid w:val="0"/>
        <w:spacing w:after="0" w:line="360" w:lineRule="auto"/>
        <w:ind w:firstLine="494" w:firstLineChars="200"/>
        <w:contextualSpacing/>
        <w:rPr>
          <w:sz w:val="24"/>
          <w:szCs w:val="24"/>
        </w:rPr>
      </w:pPr>
      <w:r>
        <w:rPr>
          <w:sz w:val="24"/>
          <w:szCs w:val="24"/>
        </w:rPr>
        <w:t>1.定期对重大危险源的安全设施和安全监测监控系统进行检测、检验，并进行经常性维护、保养，保证重大危险源的安全设施和安全监测监控系统有效、可靠运行。</w:t>
      </w:r>
    </w:p>
    <w:p>
      <w:pPr>
        <w:pStyle w:val="2"/>
        <w:tabs>
          <w:tab w:val="left" w:pos="709"/>
        </w:tabs>
        <w:adjustRightInd w:val="0"/>
        <w:snapToGrid w:val="0"/>
        <w:spacing w:after="0" w:line="360" w:lineRule="auto"/>
        <w:ind w:firstLine="494" w:firstLineChars="200"/>
        <w:contextualSpacing/>
        <w:jc w:val="left"/>
        <w:rPr>
          <w:sz w:val="21"/>
          <w:szCs w:val="21"/>
        </w:rPr>
      </w:pPr>
      <w:r>
        <w:rPr>
          <w:sz w:val="24"/>
          <w:szCs w:val="24"/>
        </w:rPr>
        <w:t>2.明确重大危险源中关键装置、重点部位的责任人或者责任机构，并对重大危险源的安全生产状况进行定期检查，及时采取措施消除事故隐患。</w:t>
      </w:r>
    </w:p>
    <w:p>
      <w:pPr>
        <w:pStyle w:val="2"/>
        <w:tabs>
          <w:tab w:val="left" w:pos="709"/>
        </w:tabs>
        <w:adjustRightInd w:val="0"/>
        <w:snapToGrid w:val="0"/>
        <w:spacing w:after="0" w:line="360" w:lineRule="auto"/>
        <w:ind w:firstLine="508" w:firstLineChars="206"/>
        <w:contextualSpacing/>
        <w:rPr>
          <w:sz w:val="24"/>
          <w:szCs w:val="24"/>
        </w:rPr>
      </w:pPr>
      <w:r>
        <w:rPr>
          <w:sz w:val="24"/>
          <w:szCs w:val="24"/>
        </w:rPr>
        <w:t>3.对重大危险源的管理和操作岗位人员进行安全操作技能培训。</w:t>
      </w:r>
    </w:p>
    <w:p>
      <w:pPr>
        <w:pStyle w:val="2"/>
        <w:tabs>
          <w:tab w:val="left" w:pos="709"/>
        </w:tabs>
        <w:adjustRightInd w:val="0"/>
        <w:snapToGrid w:val="0"/>
        <w:spacing w:after="0" w:line="360" w:lineRule="auto"/>
        <w:ind w:firstLine="494" w:firstLineChars="200"/>
        <w:contextualSpacing/>
        <w:rPr>
          <w:sz w:val="24"/>
          <w:szCs w:val="24"/>
        </w:rPr>
      </w:pPr>
      <w:r>
        <w:rPr>
          <w:sz w:val="24"/>
          <w:szCs w:val="24"/>
        </w:rPr>
        <w:t>4.设置明显的安全警示标志，写明紧急情况下的应急处置办法。</w:t>
      </w:r>
    </w:p>
    <w:p>
      <w:pPr>
        <w:pStyle w:val="2"/>
        <w:tabs>
          <w:tab w:val="left" w:pos="709"/>
        </w:tabs>
        <w:adjustRightInd w:val="0"/>
        <w:snapToGrid w:val="0"/>
        <w:spacing w:after="0" w:line="360" w:lineRule="auto"/>
        <w:ind w:firstLine="494" w:firstLineChars="200"/>
        <w:contextualSpacing/>
        <w:rPr>
          <w:sz w:val="24"/>
          <w:szCs w:val="24"/>
        </w:rPr>
      </w:pPr>
      <w:r>
        <w:rPr>
          <w:sz w:val="24"/>
          <w:szCs w:val="24"/>
        </w:rPr>
        <w:t>5.制定重大危险源事故应急预案，建立应急救援组织或者配备应急救援人员，配备必要的防护装备及应急救援器材、设备、物资，并保障其完好和方便使用。</w:t>
      </w:r>
    </w:p>
    <w:p>
      <w:pPr>
        <w:adjustRightInd w:val="0"/>
        <w:snapToGrid w:val="0"/>
        <w:spacing w:line="360" w:lineRule="auto"/>
        <w:ind w:firstLine="494" w:firstLineChars="200"/>
        <w:contextualSpacing/>
        <w:jc w:val="left"/>
        <w:outlineLvl w:val="1"/>
        <w:rPr>
          <w:rFonts w:cs="Times New Roman" w:eastAsiaTheme="minorEastAsia"/>
          <w:b/>
          <w:bCs/>
          <w:sz w:val="24"/>
        </w:rPr>
      </w:pPr>
      <w:r>
        <w:rPr>
          <w:rFonts w:hint="eastAsia" w:cs="Times New Roman" w:eastAsiaTheme="minorEastAsia"/>
          <w:b/>
          <w:bCs/>
          <w:sz w:val="24"/>
        </w:rPr>
        <w:t>六</w:t>
      </w:r>
      <w:r>
        <w:rPr>
          <w:rFonts w:cs="Times New Roman" w:eastAsiaTheme="minorEastAsia"/>
          <w:b/>
          <w:bCs/>
          <w:sz w:val="24"/>
        </w:rPr>
        <w:t>、材料清单</w:t>
      </w:r>
    </w:p>
    <w:p>
      <w:pPr>
        <w:pStyle w:val="2"/>
        <w:tabs>
          <w:tab w:val="left" w:pos="709"/>
        </w:tabs>
        <w:adjustRightInd w:val="0"/>
        <w:snapToGrid w:val="0"/>
        <w:spacing w:after="0" w:line="360" w:lineRule="auto"/>
        <w:ind w:firstLine="494" w:firstLineChars="200"/>
        <w:contextualSpacing/>
        <w:rPr>
          <w:sz w:val="24"/>
          <w:szCs w:val="24"/>
        </w:rPr>
      </w:pPr>
      <w:r>
        <w:rPr>
          <w:sz w:val="24"/>
          <w:szCs w:val="24"/>
        </w:rPr>
        <w:t>1、安全风险制度2、安全风险档案3、安全风险培训记录4、重大危险源备案批复、档案、检查记录、培训记录</w:t>
      </w:r>
    </w:p>
    <w:p>
      <w:pPr>
        <w:adjustRightInd w:val="0"/>
        <w:snapToGrid w:val="0"/>
        <w:spacing w:line="360" w:lineRule="auto"/>
        <w:ind w:firstLine="494" w:firstLineChars="200"/>
        <w:contextualSpacing/>
        <w:jc w:val="left"/>
        <w:outlineLvl w:val="1"/>
        <w:rPr>
          <w:rFonts w:cs="Times New Roman" w:eastAsiaTheme="minorEastAsia"/>
          <w:b/>
          <w:bCs/>
          <w:sz w:val="24"/>
        </w:rPr>
      </w:pPr>
      <w:r>
        <w:rPr>
          <w:rFonts w:hint="eastAsia" w:cs="Times New Roman" w:eastAsiaTheme="minorEastAsia"/>
          <w:b/>
          <w:bCs/>
          <w:sz w:val="24"/>
        </w:rPr>
        <w:t>七</w:t>
      </w:r>
      <w:r>
        <w:rPr>
          <w:rFonts w:cs="Times New Roman" w:eastAsiaTheme="minorEastAsia"/>
          <w:b/>
          <w:bCs/>
          <w:sz w:val="24"/>
        </w:rPr>
        <w:t>、引用的法规和标准</w:t>
      </w:r>
    </w:p>
    <w:p>
      <w:pPr>
        <w:pStyle w:val="2"/>
        <w:tabs>
          <w:tab w:val="left" w:pos="709"/>
        </w:tabs>
        <w:adjustRightInd w:val="0"/>
        <w:snapToGrid w:val="0"/>
        <w:spacing w:after="0" w:line="360" w:lineRule="auto"/>
        <w:ind w:firstLine="580" w:firstLineChars="235"/>
        <w:contextualSpacing/>
        <w:rPr>
          <w:b/>
          <w:bCs/>
          <w:sz w:val="24"/>
          <w:szCs w:val="24"/>
        </w:rPr>
      </w:pPr>
      <w:r>
        <w:rPr>
          <w:b/>
          <w:bCs/>
          <w:sz w:val="24"/>
          <w:szCs w:val="24"/>
        </w:rPr>
        <w:t>1、《中华人民共和国安全生产法》（主席令88号修订，2021年9月1日实施）</w:t>
      </w:r>
    </w:p>
    <w:p>
      <w:pPr>
        <w:pStyle w:val="2"/>
        <w:tabs>
          <w:tab w:val="left" w:pos="709"/>
        </w:tabs>
        <w:adjustRightInd w:val="0"/>
        <w:snapToGrid w:val="0"/>
        <w:spacing w:after="0" w:line="360" w:lineRule="auto"/>
        <w:ind w:firstLine="580" w:firstLineChars="235"/>
        <w:contextualSpacing/>
        <w:rPr>
          <w:b/>
          <w:bCs/>
          <w:sz w:val="24"/>
          <w:szCs w:val="24"/>
        </w:rPr>
      </w:pPr>
      <w:r>
        <w:rPr>
          <w:b/>
          <w:bCs/>
          <w:sz w:val="24"/>
          <w:szCs w:val="24"/>
        </w:rPr>
        <w:t>2、《江苏省安全生产条例》（江苏省人大常委会公告第45号，2016年10月1日施行）</w:t>
      </w:r>
    </w:p>
    <w:p>
      <w:pPr>
        <w:pStyle w:val="2"/>
        <w:tabs>
          <w:tab w:val="left" w:pos="709"/>
        </w:tabs>
        <w:adjustRightInd w:val="0"/>
        <w:snapToGrid w:val="0"/>
        <w:spacing w:after="0" w:line="360" w:lineRule="auto"/>
        <w:ind w:firstLine="580" w:firstLineChars="235"/>
        <w:contextualSpacing/>
        <w:rPr>
          <w:b/>
          <w:bCs/>
          <w:sz w:val="24"/>
          <w:szCs w:val="24"/>
        </w:rPr>
      </w:pPr>
      <w:r>
        <w:rPr>
          <w:b/>
          <w:bCs/>
          <w:sz w:val="24"/>
          <w:szCs w:val="24"/>
        </w:rPr>
        <w:t>3、江苏省工业企业安全生产风险报告规定》（江苏省人民政府令第140号）</w:t>
      </w:r>
    </w:p>
    <w:p>
      <w:pPr>
        <w:pStyle w:val="2"/>
        <w:tabs>
          <w:tab w:val="left" w:pos="709"/>
        </w:tabs>
        <w:adjustRightInd w:val="0"/>
        <w:snapToGrid w:val="0"/>
        <w:spacing w:after="0" w:line="360" w:lineRule="auto"/>
        <w:ind w:firstLine="580" w:firstLineChars="235"/>
        <w:contextualSpacing/>
        <w:rPr>
          <w:b/>
          <w:bCs/>
          <w:sz w:val="24"/>
          <w:szCs w:val="24"/>
        </w:rPr>
      </w:pPr>
      <w:r>
        <w:rPr>
          <w:b/>
          <w:bCs/>
          <w:sz w:val="24"/>
          <w:szCs w:val="24"/>
        </w:rPr>
        <w:t>4、《工贸企业安全风险管控基本规范》DB32/T 3614—2019</w:t>
      </w:r>
    </w:p>
    <w:p>
      <w:pPr>
        <w:pStyle w:val="2"/>
        <w:tabs>
          <w:tab w:val="left" w:pos="709"/>
        </w:tabs>
        <w:adjustRightInd w:val="0"/>
        <w:snapToGrid w:val="0"/>
        <w:spacing w:after="0" w:line="360" w:lineRule="auto"/>
        <w:ind w:firstLine="580" w:firstLineChars="235"/>
        <w:contextualSpacing/>
        <w:rPr>
          <w:b/>
          <w:bCs/>
          <w:sz w:val="24"/>
          <w:szCs w:val="24"/>
        </w:rPr>
      </w:pPr>
      <w:r>
        <w:rPr>
          <w:b/>
          <w:bCs/>
          <w:sz w:val="24"/>
          <w:szCs w:val="24"/>
        </w:rPr>
        <w:t>5、《危险化学品重大危险源监督管理暂行规定》（原国家安全生产监督管理总局令第40号，第79号修正，2011年12月1日实施）</w:t>
      </w:r>
    </w:p>
    <w:p>
      <w:pPr>
        <w:pStyle w:val="2"/>
      </w:pPr>
      <w:r>
        <w:br w:type="page"/>
      </w:r>
    </w:p>
    <w:p>
      <w:pPr>
        <w:adjustRightInd w:val="0"/>
        <w:snapToGrid w:val="0"/>
        <w:spacing w:line="360" w:lineRule="auto"/>
        <w:contextualSpacing/>
        <w:jc w:val="center"/>
        <w:outlineLvl w:val="0"/>
        <w:rPr>
          <w:rFonts w:eastAsia="黑体" w:cs="Times New Roman"/>
          <w:sz w:val="28"/>
          <w:szCs w:val="28"/>
        </w:rPr>
      </w:pPr>
      <w:bookmarkStart w:id="56" w:name="_Toc28426"/>
      <w:bookmarkStart w:id="57" w:name="_Toc16243"/>
      <w:r>
        <w:rPr>
          <w:rFonts w:eastAsia="黑体" w:cs="Times New Roman"/>
          <w:sz w:val="28"/>
          <w:szCs w:val="28"/>
        </w:rPr>
        <w:t>第十章 应急救援</w:t>
      </w:r>
      <w:bookmarkEnd w:id="56"/>
      <w:bookmarkEnd w:id="57"/>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（企业落实安全生产主体责任检查要点20条第18、20条）</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sz w:val="24"/>
          <w:szCs w:val="24"/>
        </w:rPr>
      </w:pPr>
      <w:r>
        <w:rPr>
          <w:rFonts w:ascii="Times New Roman" w:hAnsi="Times New Roman" w:eastAsia="宋体" w:cs="Times New Roman"/>
          <w:sz w:val="24"/>
          <w:szCs w:val="24"/>
        </w:rPr>
        <w:t>一、应急机构和队伍</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（一）企业应按规定建立安全生产应急管理机构或指定专人负责安全生产应急管理工作；</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1.建立事故应急救援制度。</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释义：</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9" w:type="dxa"/>
            <w:gridSpan w:val="2"/>
          </w:tcPr>
          <w:p>
            <w:pPr>
              <w:pStyle w:val="2"/>
              <w:spacing w:after="0"/>
              <w:jc w:val="center"/>
              <w:rPr>
                <w:sz w:val="21"/>
                <w:szCs w:val="21"/>
              </w:rPr>
            </w:pPr>
            <w:r>
              <w:rPr>
                <w:rFonts w:hint="eastAsia"/>
                <w:sz w:val="21"/>
                <w:szCs w:val="21"/>
              </w:rPr>
              <w:t>应急救援管理制度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9" w:type="dxa"/>
          </w:tcPr>
          <w:p>
            <w:pPr>
              <w:pStyle w:val="2"/>
              <w:spacing w:after="0"/>
              <w:rPr>
                <w:sz w:val="21"/>
                <w:szCs w:val="21"/>
              </w:rPr>
            </w:pPr>
            <w:r>
              <w:rPr>
                <w:rFonts w:hint="eastAsia"/>
                <w:sz w:val="21"/>
                <w:szCs w:val="21"/>
              </w:rPr>
              <w:t xml:space="preserve">1、目的和适用范围 </w:t>
            </w:r>
          </w:p>
          <w:p>
            <w:pPr>
              <w:pStyle w:val="2"/>
              <w:spacing w:after="0"/>
              <w:rPr>
                <w:sz w:val="21"/>
                <w:szCs w:val="21"/>
              </w:rPr>
            </w:pPr>
            <w:r>
              <w:rPr>
                <w:rFonts w:hint="eastAsia"/>
                <w:sz w:val="21"/>
                <w:szCs w:val="21"/>
              </w:rPr>
              <w:t xml:space="preserve">2、应急管理原则 </w:t>
            </w:r>
          </w:p>
          <w:p>
            <w:pPr>
              <w:pStyle w:val="2"/>
              <w:spacing w:after="0"/>
              <w:rPr>
                <w:sz w:val="21"/>
                <w:szCs w:val="21"/>
              </w:rPr>
            </w:pPr>
            <w:r>
              <w:rPr>
                <w:rFonts w:hint="eastAsia"/>
                <w:sz w:val="21"/>
                <w:szCs w:val="21"/>
              </w:rPr>
              <w:t xml:space="preserve">3、应急管理机构 </w:t>
            </w:r>
          </w:p>
          <w:p>
            <w:pPr>
              <w:pStyle w:val="2"/>
              <w:spacing w:after="0"/>
              <w:ind w:firstLine="434" w:firstLineChars="200"/>
              <w:rPr>
                <w:sz w:val="21"/>
                <w:szCs w:val="21"/>
              </w:rPr>
            </w:pPr>
            <w:r>
              <w:rPr>
                <w:rFonts w:hint="eastAsia"/>
                <w:sz w:val="21"/>
                <w:szCs w:val="21"/>
              </w:rPr>
              <w:t>3.1、领导机构</w:t>
            </w:r>
          </w:p>
          <w:p>
            <w:pPr>
              <w:pStyle w:val="2"/>
              <w:spacing w:after="0"/>
              <w:ind w:firstLine="434" w:firstLineChars="200"/>
              <w:rPr>
                <w:sz w:val="21"/>
                <w:szCs w:val="21"/>
              </w:rPr>
            </w:pPr>
            <w:r>
              <w:rPr>
                <w:sz w:val="21"/>
                <w:szCs w:val="21"/>
              </w:rPr>
              <w:t xml:space="preserve">3.2、办事机构  </w:t>
            </w:r>
          </w:p>
          <w:p>
            <w:pPr>
              <w:pStyle w:val="2"/>
              <w:spacing w:after="0"/>
              <w:rPr>
                <w:sz w:val="21"/>
                <w:szCs w:val="21"/>
              </w:rPr>
            </w:pPr>
            <w:r>
              <w:rPr>
                <w:sz w:val="21"/>
                <w:szCs w:val="21"/>
              </w:rPr>
              <w:t xml:space="preserve">4、运行机制 </w:t>
            </w:r>
          </w:p>
          <w:p>
            <w:pPr>
              <w:pStyle w:val="2"/>
              <w:spacing w:after="0"/>
              <w:ind w:firstLine="434" w:firstLineChars="200"/>
              <w:rPr>
                <w:sz w:val="21"/>
                <w:szCs w:val="21"/>
              </w:rPr>
            </w:pPr>
            <w:r>
              <w:rPr>
                <w:sz w:val="21"/>
                <w:szCs w:val="21"/>
              </w:rPr>
              <w:t xml:space="preserve">4.1、预警 </w:t>
            </w:r>
          </w:p>
          <w:p>
            <w:pPr>
              <w:pStyle w:val="2"/>
              <w:spacing w:after="0"/>
              <w:ind w:firstLine="434" w:firstLineChars="200"/>
              <w:rPr>
                <w:sz w:val="21"/>
                <w:szCs w:val="21"/>
              </w:rPr>
            </w:pPr>
            <w:r>
              <w:rPr>
                <w:sz w:val="21"/>
                <w:szCs w:val="21"/>
              </w:rPr>
              <w:t xml:space="preserve">4.2、应急处置 </w:t>
            </w:r>
          </w:p>
          <w:p>
            <w:pPr>
              <w:pStyle w:val="2"/>
              <w:spacing w:after="0"/>
              <w:ind w:firstLine="434" w:firstLineChars="200"/>
              <w:rPr>
                <w:sz w:val="21"/>
                <w:szCs w:val="21"/>
              </w:rPr>
            </w:pPr>
            <w:r>
              <w:rPr>
                <w:sz w:val="21"/>
                <w:szCs w:val="21"/>
              </w:rPr>
              <w:t>4.3、恢复与重建</w:t>
            </w:r>
          </w:p>
        </w:tc>
        <w:tc>
          <w:tcPr>
            <w:tcW w:w="3170" w:type="dxa"/>
          </w:tcPr>
          <w:p>
            <w:pPr>
              <w:pStyle w:val="2"/>
              <w:spacing w:after="0"/>
              <w:ind w:firstLine="434" w:firstLineChars="200"/>
              <w:rPr>
                <w:sz w:val="21"/>
                <w:szCs w:val="21"/>
              </w:rPr>
            </w:pPr>
            <w:r>
              <w:rPr>
                <w:sz w:val="21"/>
                <w:szCs w:val="21"/>
              </w:rPr>
              <w:t>4.4、信息的报告与发布</w:t>
            </w:r>
          </w:p>
          <w:p>
            <w:pPr>
              <w:pStyle w:val="2"/>
              <w:spacing w:after="0"/>
              <w:rPr>
                <w:sz w:val="21"/>
                <w:szCs w:val="21"/>
              </w:rPr>
            </w:pPr>
            <w:r>
              <w:rPr>
                <w:sz w:val="21"/>
                <w:szCs w:val="21"/>
              </w:rPr>
              <w:t xml:space="preserve">5、应急保障 </w:t>
            </w:r>
          </w:p>
          <w:p>
            <w:pPr>
              <w:pStyle w:val="2"/>
              <w:spacing w:after="0"/>
              <w:ind w:firstLine="434" w:firstLineChars="200"/>
              <w:rPr>
                <w:sz w:val="21"/>
                <w:szCs w:val="21"/>
              </w:rPr>
            </w:pPr>
            <w:r>
              <w:rPr>
                <w:sz w:val="21"/>
                <w:szCs w:val="21"/>
              </w:rPr>
              <w:t xml:space="preserve">5.1、人力资源 </w:t>
            </w:r>
          </w:p>
          <w:p>
            <w:pPr>
              <w:pStyle w:val="2"/>
              <w:spacing w:after="0"/>
              <w:ind w:firstLine="434" w:firstLineChars="200"/>
              <w:rPr>
                <w:sz w:val="21"/>
                <w:szCs w:val="21"/>
              </w:rPr>
            </w:pPr>
            <w:r>
              <w:rPr>
                <w:sz w:val="21"/>
                <w:szCs w:val="21"/>
              </w:rPr>
              <w:t xml:space="preserve">5.2、财力保障 </w:t>
            </w:r>
          </w:p>
          <w:p>
            <w:pPr>
              <w:pStyle w:val="2"/>
              <w:spacing w:after="0"/>
              <w:ind w:firstLine="434" w:firstLineChars="200"/>
              <w:rPr>
                <w:sz w:val="21"/>
                <w:szCs w:val="21"/>
              </w:rPr>
            </w:pPr>
            <w:r>
              <w:rPr>
                <w:sz w:val="21"/>
                <w:szCs w:val="21"/>
              </w:rPr>
              <w:t xml:space="preserve">5.3、物资保障 </w:t>
            </w:r>
          </w:p>
          <w:p>
            <w:pPr>
              <w:pStyle w:val="2"/>
              <w:spacing w:after="0"/>
              <w:ind w:firstLine="434" w:firstLineChars="200"/>
              <w:rPr>
                <w:sz w:val="21"/>
                <w:szCs w:val="21"/>
              </w:rPr>
            </w:pPr>
            <w:r>
              <w:rPr>
                <w:sz w:val="21"/>
                <w:szCs w:val="21"/>
              </w:rPr>
              <w:t xml:space="preserve">5.4、医疗卫生保障 </w:t>
            </w:r>
          </w:p>
          <w:p>
            <w:pPr>
              <w:pStyle w:val="2"/>
              <w:spacing w:after="0"/>
              <w:ind w:firstLine="434" w:firstLineChars="200"/>
              <w:rPr>
                <w:sz w:val="21"/>
                <w:szCs w:val="21"/>
              </w:rPr>
            </w:pPr>
            <w:r>
              <w:rPr>
                <w:sz w:val="21"/>
                <w:szCs w:val="21"/>
              </w:rPr>
              <w:t xml:space="preserve">5.5、交通运输保障 </w:t>
            </w:r>
          </w:p>
          <w:p>
            <w:pPr>
              <w:pStyle w:val="2"/>
              <w:spacing w:after="0"/>
              <w:ind w:firstLine="434" w:firstLineChars="200"/>
              <w:rPr>
                <w:sz w:val="21"/>
                <w:szCs w:val="21"/>
              </w:rPr>
            </w:pPr>
            <w:r>
              <w:rPr>
                <w:rFonts w:hint="eastAsia"/>
                <w:sz w:val="21"/>
                <w:szCs w:val="21"/>
              </w:rPr>
              <w:t xml:space="preserve">5.6、人员防护 </w:t>
            </w:r>
          </w:p>
          <w:p>
            <w:pPr>
              <w:pStyle w:val="2"/>
              <w:spacing w:after="0"/>
              <w:rPr>
                <w:sz w:val="21"/>
                <w:szCs w:val="21"/>
              </w:rPr>
            </w:pPr>
            <w:r>
              <w:rPr>
                <w:rFonts w:hint="eastAsia"/>
                <w:sz w:val="21"/>
                <w:szCs w:val="21"/>
              </w:rPr>
              <w:t xml:space="preserve">6、监督管理 </w:t>
            </w:r>
          </w:p>
        </w:tc>
      </w:tr>
    </w:tbl>
    <w:p>
      <w:pPr>
        <w:pStyle w:val="2"/>
        <w:spacing w:after="0"/>
        <w:jc w:val="center"/>
        <w:rPr>
          <w:sz w:val="21"/>
          <w:szCs w:val="21"/>
        </w:rPr>
      </w:pPr>
      <w:r>
        <w:rPr>
          <w:rFonts w:hint="eastAsia"/>
          <w:sz w:val="21"/>
          <w:szCs w:val="21"/>
        </w:rPr>
        <w:t>图10-1 应急救援制度范本</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2.按相关规定建立安全生产应急管理机构或指定专人负责安全生产应急管理工作。</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释义：</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339" w:type="dxa"/>
          </w:tcPr>
          <w:p>
            <w:pPr>
              <w:spacing w:line="140" w:lineRule="exact"/>
              <w:ind w:firstLine="214" w:firstLineChars="200"/>
              <w:rPr>
                <w:rFonts w:hAnsi="宋体" w:eastAsia="宋体" w:cs="Times New Roman"/>
                <w:sz w:val="10"/>
                <w:szCs w:val="10"/>
              </w:rPr>
            </w:pPr>
            <w:r>
              <w:rPr>
                <w:rFonts w:hint="eastAsia" w:hAnsi="宋体" w:eastAsia="宋体" w:cs="Times New Roman"/>
                <w:sz w:val="10"/>
                <w:szCs w:val="10"/>
              </w:rPr>
              <w:t>公司成立安全生产事故应急救援指挥部，下辖消防抢险组、医疗救护组、现场警戒组、后勤保障组、通讯联络组5个工作小组，见图1-1。应急救援指挥部由总经理任总指挥，副总经理任副总指挥，负责全厂救援工作的组织指挥。指挥部设在总经理办公室，协调全厂统一行动，日常工作由</w:t>
            </w:r>
            <w:r>
              <w:rPr>
                <w:rFonts w:hAnsi="宋体" w:eastAsia="宋体" w:cs="Times New Roman"/>
                <w:sz w:val="10"/>
                <w:szCs w:val="10"/>
              </w:rPr>
              <w:t>EHS</w:t>
            </w:r>
            <w:r>
              <w:rPr>
                <w:rFonts w:hint="eastAsia" w:hAnsi="宋体" w:eastAsia="宋体" w:cs="Times New Roman"/>
                <w:sz w:val="10"/>
                <w:szCs w:val="10"/>
              </w:rPr>
              <w:t>负责。</w:t>
            </w:r>
          </w:p>
          <w:p>
            <w:pPr>
              <w:jc w:val="center"/>
              <w:rPr>
                <w:rFonts w:eastAsia="宋体" w:cs="Times New Roman"/>
                <w:sz w:val="10"/>
                <w:szCs w:val="10"/>
              </w:rPr>
            </w:pPr>
            <w:r>
              <w:rPr>
                <w:rFonts w:eastAsia="宋体" w:cs="Times New Roman"/>
                <w:sz w:val="10"/>
                <w:szCs w:val="10"/>
              </w:rPr>
              <w:object>
                <v:shape id="_x0000_i1027" o:spt="75" type="#_x0000_t75" style="height:98.1pt;width:140.6pt;" o:ole="t" filled="f" o:preferrelative="t" stroked="f" coordsize="21600,21600">
                  <v:path/>
                  <v:fill on="f" focussize="0,0"/>
                  <v:stroke on="f" joinstyle="miter"/>
                  <v:imagedata r:id="rId160" o:title=""/>
                  <o:lock v:ext="edit" aspectratio="t"/>
                  <w10:wrap type="none"/>
                  <w10:anchorlock/>
                </v:shape>
                <o:OLEObject Type="Embed" ProgID="Visio.Drawing.11" ShapeID="_x0000_i1027" DrawAspect="Content" ObjectID="_1468075727" r:id="rId159">
                  <o:LockedField>false</o:LockedField>
                </o:OLEObject>
              </w:object>
            </w:r>
          </w:p>
          <w:p>
            <w:pPr>
              <w:spacing w:line="140" w:lineRule="exact"/>
              <w:ind w:firstLine="214" w:firstLineChars="200"/>
              <w:jc w:val="center"/>
              <w:rPr>
                <w:rFonts w:hAnsi="宋体" w:eastAsia="宋体" w:cs="Times New Roman"/>
                <w:sz w:val="10"/>
                <w:szCs w:val="10"/>
              </w:rPr>
            </w:pPr>
            <w:r>
              <w:rPr>
                <w:rFonts w:hAnsi="宋体" w:eastAsia="宋体" w:cs="Times New Roman"/>
                <w:sz w:val="10"/>
                <w:szCs w:val="10"/>
              </w:rPr>
              <w:t>图</w:t>
            </w:r>
            <w:r>
              <w:rPr>
                <w:rFonts w:hint="eastAsia" w:hAnsi="宋体" w:eastAsia="宋体" w:cs="Times New Roman"/>
                <w:sz w:val="10"/>
                <w:szCs w:val="10"/>
              </w:rPr>
              <w:t>1-</w:t>
            </w:r>
            <w:r>
              <w:rPr>
                <w:rFonts w:hAnsi="宋体" w:eastAsia="宋体" w:cs="Times New Roman"/>
                <w:sz w:val="10"/>
                <w:szCs w:val="10"/>
              </w:rPr>
              <w:t>1</w:t>
            </w:r>
            <w:r>
              <w:rPr>
                <w:rFonts w:hint="eastAsia" w:hAnsi="宋体" w:eastAsia="宋体" w:cs="Times New Roman"/>
                <w:sz w:val="10"/>
                <w:szCs w:val="10"/>
              </w:rPr>
              <w:t xml:space="preserve"> </w:t>
            </w:r>
            <w:r>
              <w:rPr>
                <w:rFonts w:hAnsi="宋体" w:eastAsia="宋体" w:cs="Times New Roman"/>
                <w:sz w:val="10"/>
                <w:szCs w:val="10"/>
              </w:rPr>
              <w:t>指挥机构图</w:t>
            </w:r>
          </w:p>
          <w:p>
            <w:pPr>
              <w:adjustRightInd w:val="0"/>
              <w:snapToGrid w:val="0"/>
              <w:spacing w:line="140" w:lineRule="exact"/>
              <w:contextualSpacing/>
              <w:jc w:val="left"/>
              <w:rPr>
                <w:rFonts w:eastAsia="宋体" w:cs="Times New Roman"/>
                <w:sz w:val="10"/>
                <w:szCs w:val="10"/>
              </w:rPr>
            </w:pPr>
          </w:p>
        </w:tc>
      </w:tr>
    </w:tbl>
    <w:p>
      <w:pPr>
        <w:adjustRightInd w:val="0"/>
        <w:snapToGrid w:val="0"/>
        <w:spacing w:line="360" w:lineRule="auto"/>
        <w:ind w:firstLine="434" w:firstLineChars="200"/>
        <w:contextualSpacing/>
        <w:jc w:val="center"/>
        <w:rPr>
          <w:rFonts w:eastAsia="宋体" w:cs="Times New Roman"/>
          <w:sz w:val="21"/>
          <w:szCs w:val="21"/>
        </w:rPr>
      </w:pPr>
      <w:r>
        <w:rPr>
          <w:rFonts w:hint="eastAsia" w:eastAsia="宋体" w:cs="Times New Roman"/>
          <w:sz w:val="21"/>
          <w:szCs w:val="21"/>
        </w:rPr>
        <w:t>图10-2 应急组织机构范本</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（二）企业应建立与本单位安全生产特点相适应的专兼职应急救援队伍，或指定专兼职应急救援人员，并组织训练；无需建立应急救援队伍的，可与附近具备专业资质的应急救援队伍签订服务协议；</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1.建立与本单位生产安全特点相适应的专兼职应急救援队伍或指定专兼职应急救援人员。</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企业可与专业的第三方救援队伍签订应急救援协议。</w:t>
      </w:r>
    </w:p>
    <w:p>
      <w:pPr>
        <w:pStyle w:val="2"/>
        <w:adjustRightInd w:val="0"/>
        <w:snapToGrid w:val="0"/>
        <w:spacing w:after="0" w:line="360" w:lineRule="auto"/>
        <w:contextualSpacing/>
        <w:jc w:val="left"/>
        <w:rPr>
          <w:sz w:val="24"/>
          <w:szCs w:val="24"/>
        </w:rPr>
      </w:pPr>
      <w:r>
        <w:rPr>
          <w:sz w:val="24"/>
          <w:szCs w:val="24"/>
        </w:rPr>
        <w:drawing>
          <wp:inline distT="0" distB="0" distL="0" distR="0">
            <wp:extent cx="1799590" cy="2546985"/>
            <wp:effectExtent l="0" t="0" r="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800000" cy="2547558"/>
                    </a:xfrm>
                    <a:prstGeom prst="rect">
                      <a:avLst/>
                    </a:prstGeom>
                  </pic:spPr>
                </pic:pic>
              </a:graphicData>
            </a:graphic>
          </wp:inline>
        </w:drawing>
      </w:r>
      <w:r>
        <w:rPr>
          <w:sz w:val="24"/>
          <w:szCs w:val="24"/>
        </w:rPr>
        <w:drawing>
          <wp:inline distT="0" distB="0" distL="0" distR="0">
            <wp:extent cx="1799590" cy="2546985"/>
            <wp:effectExtent l="0" t="0" r="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800000" cy="2547558"/>
                    </a:xfrm>
                    <a:prstGeom prst="rect">
                      <a:avLst/>
                    </a:prstGeom>
                  </pic:spPr>
                </pic:pic>
              </a:graphicData>
            </a:graphic>
          </wp:inline>
        </w:drawing>
      </w:r>
    </w:p>
    <w:p>
      <w:pPr>
        <w:adjustRightInd w:val="0"/>
        <w:snapToGrid w:val="0"/>
        <w:spacing w:line="360" w:lineRule="auto"/>
        <w:ind w:firstLine="434" w:firstLineChars="200"/>
        <w:contextualSpacing/>
        <w:jc w:val="center"/>
        <w:rPr>
          <w:rFonts w:eastAsia="宋体" w:cs="Times New Roman"/>
          <w:sz w:val="21"/>
          <w:szCs w:val="21"/>
        </w:rPr>
      </w:pPr>
      <w:r>
        <w:rPr>
          <w:rFonts w:eastAsia="宋体" w:cs="Times New Roman"/>
          <w:sz w:val="21"/>
          <w:szCs w:val="21"/>
        </w:rPr>
        <w:t>图</w:t>
      </w:r>
      <w:r>
        <w:rPr>
          <w:rFonts w:hint="eastAsia" w:eastAsia="宋体" w:cs="Times New Roman"/>
          <w:sz w:val="21"/>
          <w:szCs w:val="21"/>
        </w:rPr>
        <w:t>10-3 专业资质的应急救援队伍签订服务协议示例</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2.定期组织专兼职应急救援队伍和人员进行训练。</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企业定期组织人员进行应急救援演练，必要时可与专业救援队一同进行</w:t>
      </w:r>
      <w:r>
        <w:rPr>
          <w:rFonts w:hint="eastAsia" w:eastAsia="宋体" w:cs="Times New Roman"/>
          <w:sz w:val="24"/>
        </w:rPr>
        <w:t>演习</w:t>
      </w:r>
      <w:r>
        <w:rPr>
          <w:rFonts w:eastAsia="宋体" w:cs="Times New Roman"/>
          <w:sz w:val="24"/>
        </w:rPr>
        <w:t>。</w:t>
      </w:r>
    </w:p>
    <w:p>
      <w:pPr>
        <w:pStyle w:val="2"/>
        <w:adjustRightInd w:val="0"/>
        <w:snapToGrid w:val="0"/>
        <w:spacing w:after="0" w:line="360" w:lineRule="auto"/>
        <w:contextualSpacing/>
        <w:jc w:val="center"/>
        <w:rPr>
          <w:sz w:val="24"/>
          <w:szCs w:val="24"/>
        </w:rPr>
      </w:pPr>
      <w:r>
        <w:rPr>
          <w:sz w:val="24"/>
          <w:szCs w:val="24"/>
        </w:rPr>
        <w:drawing>
          <wp:inline distT="0" distB="0" distL="0" distR="0">
            <wp:extent cx="1799590" cy="2506345"/>
            <wp:effectExtent l="0" t="0" r="0" b="825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63"/>
                    <a:stretch>
                      <a:fillRect/>
                    </a:stretch>
                  </pic:blipFill>
                  <pic:spPr>
                    <a:xfrm>
                      <a:off x="0" y="0"/>
                      <a:ext cx="1800000" cy="2506892"/>
                    </a:xfrm>
                    <a:prstGeom prst="rect">
                      <a:avLst/>
                    </a:prstGeom>
                  </pic:spPr>
                </pic:pic>
              </a:graphicData>
            </a:graphic>
          </wp:inline>
        </w:drawing>
      </w:r>
    </w:p>
    <w:p>
      <w:pPr>
        <w:pStyle w:val="2"/>
        <w:adjustRightInd w:val="0"/>
        <w:snapToGrid w:val="0"/>
        <w:spacing w:after="0" w:line="360" w:lineRule="auto"/>
        <w:contextualSpacing/>
        <w:jc w:val="center"/>
        <w:rPr>
          <w:sz w:val="21"/>
          <w:szCs w:val="21"/>
        </w:rPr>
      </w:pPr>
      <w:r>
        <w:rPr>
          <w:rFonts w:hint="eastAsia"/>
          <w:sz w:val="21"/>
          <w:szCs w:val="21"/>
        </w:rPr>
        <w:t xml:space="preserve">图10-4 </w:t>
      </w:r>
      <w:r>
        <w:rPr>
          <w:sz w:val="21"/>
          <w:szCs w:val="21"/>
        </w:rPr>
        <w:t>教育训练签到表范本</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二、应急预案</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（一）企业应按规定制定生产安全事故应急预案，并针对重点作业岗位制定应急处置方案或措施，形成安全生产应急预案体系；（纳入可视化管理）</w:t>
      </w:r>
      <w:r>
        <w:rPr>
          <w:rFonts w:hint="eastAsia" w:eastAsia="宋体" w:cs="Times New Roman"/>
          <w:sz w:val="24"/>
        </w:rPr>
        <w:t>，见图14.5-4岗位应急处置卡示例。</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1.按应急预案编制导则，结合企业实际制定生产安全事故应急预案，包括综合预案、专项应急预案和处置方案。</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释义：</w:t>
      </w:r>
    </w:p>
    <w:p>
      <w:pPr>
        <w:adjustRightInd w:val="0"/>
        <w:snapToGrid w:val="0"/>
        <w:spacing w:line="360" w:lineRule="auto"/>
        <w:ind w:firstLine="494" w:firstLineChars="200"/>
        <w:contextualSpacing/>
        <w:jc w:val="center"/>
        <w:rPr>
          <w:rFonts w:eastAsia="宋体" w:cs="Times New Roman"/>
          <w:sz w:val="24"/>
        </w:rPr>
      </w:pPr>
      <w:r>
        <w:rPr>
          <w:sz w:val="24"/>
        </w:rPr>
        <w:drawing>
          <wp:inline distT="0" distB="0" distL="0" distR="0">
            <wp:extent cx="2456815" cy="3751580"/>
            <wp:effectExtent l="0" t="0" r="635" b="1270"/>
            <wp:docPr id="31016" name="图片 3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6" name="图片 31016"/>
                    <pic:cNvPicPr>
                      <a:picLocks noChangeAspect="1"/>
                    </pic:cNvPicPr>
                  </pic:nvPicPr>
                  <pic:blipFill>
                    <a:blip r:embed="rId164"/>
                    <a:stretch>
                      <a:fillRect/>
                    </a:stretch>
                  </pic:blipFill>
                  <pic:spPr>
                    <a:xfrm>
                      <a:off x="0" y="0"/>
                      <a:ext cx="2456815" cy="3751580"/>
                    </a:xfrm>
                    <a:prstGeom prst="rect">
                      <a:avLst/>
                    </a:prstGeom>
                  </pic:spPr>
                </pic:pic>
              </a:graphicData>
            </a:graphic>
          </wp:inline>
        </w:drawing>
      </w:r>
    </w:p>
    <w:p>
      <w:pPr>
        <w:adjustRightInd w:val="0"/>
        <w:snapToGrid w:val="0"/>
        <w:spacing w:line="360" w:lineRule="auto"/>
        <w:ind w:firstLine="434" w:firstLineChars="200"/>
        <w:contextualSpacing/>
        <w:jc w:val="center"/>
        <w:rPr>
          <w:rFonts w:eastAsia="宋体" w:cs="Times New Roman"/>
          <w:sz w:val="21"/>
          <w:szCs w:val="21"/>
        </w:rPr>
      </w:pPr>
      <w:r>
        <w:rPr>
          <w:rFonts w:eastAsia="宋体" w:cs="Times New Roman"/>
          <w:sz w:val="21"/>
          <w:szCs w:val="21"/>
        </w:rPr>
        <w:t>图</w:t>
      </w:r>
      <w:r>
        <w:rPr>
          <w:rFonts w:hint="eastAsia" w:eastAsia="宋体" w:cs="Times New Roman"/>
          <w:sz w:val="21"/>
          <w:szCs w:val="21"/>
        </w:rPr>
        <w:t>10-5 生产安全事故应急预案目录示例</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2.建立火灾、爆炸和毒物逸散等重大事故的专项应急预案。</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火灾、爆炸和毒物逸散等重大事故的专项应急预案应至少包含以下内容：</w:t>
      </w:r>
    </w:p>
    <w:p>
      <w:pPr>
        <w:pStyle w:val="2"/>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339" w:type="dxa"/>
            <w:gridSpan w:val="2"/>
          </w:tcPr>
          <w:p>
            <w:pPr>
              <w:adjustRightInd w:val="0"/>
              <w:snapToGrid w:val="0"/>
              <w:contextualSpacing/>
              <w:jc w:val="center"/>
              <w:rPr>
                <w:rFonts w:eastAsia="宋体" w:cs="Times New Roman"/>
                <w:b/>
                <w:sz w:val="21"/>
                <w:szCs w:val="21"/>
                <w:lang w:val="zh-CN"/>
              </w:rPr>
            </w:pPr>
            <w:bookmarkStart w:id="58" w:name="_Toc77861493"/>
            <w:r>
              <w:rPr>
                <w:rFonts w:hint="eastAsia" w:eastAsia="宋体" w:cs="Times New Roman"/>
                <w:b/>
                <w:sz w:val="21"/>
                <w:szCs w:val="21"/>
                <w:lang w:val="zh-CN"/>
              </w:rPr>
              <w:t>XXX专项应急预案</w:t>
            </w:r>
            <w:bookmarkEnd w:id="5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3169" w:type="dxa"/>
          </w:tcPr>
          <w:p>
            <w:pPr>
              <w:adjustRightInd w:val="0"/>
              <w:snapToGrid w:val="0"/>
              <w:contextualSpacing/>
              <w:jc w:val="left"/>
              <w:rPr>
                <w:rFonts w:eastAsia="宋体" w:cs="Times New Roman"/>
                <w:bCs/>
                <w:sz w:val="21"/>
                <w:szCs w:val="21"/>
                <w:lang w:val="zh-CN"/>
              </w:rPr>
            </w:pPr>
            <w:r>
              <w:rPr>
                <w:rFonts w:hint="eastAsia" w:eastAsia="宋体" w:cs="Times New Roman"/>
                <w:bCs/>
                <w:sz w:val="21"/>
                <w:szCs w:val="21"/>
                <w:lang w:val="zh-CN"/>
              </w:rPr>
              <w:t>1 适用范围</w:t>
            </w:r>
          </w:p>
          <w:p>
            <w:pPr>
              <w:adjustRightInd w:val="0"/>
              <w:snapToGrid w:val="0"/>
              <w:contextualSpacing/>
              <w:jc w:val="left"/>
              <w:rPr>
                <w:rFonts w:eastAsia="宋体" w:cs="Times New Roman"/>
                <w:bCs/>
                <w:sz w:val="21"/>
                <w:szCs w:val="21"/>
                <w:lang w:val="zh-CN"/>
              </w:rPr>
            </w:pPr>
            <w:r>
              <w:rPr>
                <w:rFonts w:hint="eastAsia" w:eastAsia="宋体" w:cs="Times New Roman"/>
                <w:bCs/>
                <w:sz w:val="21"/>
                <w:szCs w:val="21"/>
                <w:lang w:val="zh-CN"/>
              </w:rPr>
              <w:t>2 应急指挥机构和职责</w:t>
            </w:r>
          </w:p>
          <w:p>
            <w:pPr>
              <w:adjustRightInd w:val="0"/>
              <w:snapToGrid w:val="0"/>
              <w:contextualSpacing/>
              <w:jc w:val="left"/>
              <w:rPr>
                <w:rFonts w:eastAsia="宋体" w:cs="Times New Roman"/>
                <w:bCs/>
                <w:sz w:val="21"/>
                <w:szCs w:val="21"/>
                <w:lang w:val="zh-CN"/>
              </w:rPr>
            </w:pPr>
            <w:r>
              <w:rPr>
                <w:rFonts w:hint="eastAsia" w:eastAsia="宋体" w:cs="Times New Roman"/>
                <w:bCs/>
                <w:sz w:val="21"/>
                <w:szCs w:val="21"/>
                <w:lang w:val="zh-CN"/>
              </w:rPr>
              <w:t>3 响应启动</w:t>
            </w:r>
          </w:p>
        </w:tc>
        <w:tc>
          <w:tcPr>
            <w:tcW w:w="3170" w:type="dxa"/>
          </w:tcPr>
          <w:p>
            <w:pPr>
              <w:adjustRightInd w:val="0"/>
              <w:snapToGrid w:val="0"/>
              <w:contextualSpacing/>
              <w:jc w:val="left"/>
              <w:rPr>
                <w:rFonts w:eastAsia="宋体" w:cs="Times New Roman"/>
                <w:bCs/>
                <w:sz w:val="21"/>
                <w:szCs w:val="21"/>
              </w:rPr>
            </w:pPr>
            <w:r>
              <w:rPr>
                <w:rFonts w:hint="eastAsia" w:eastAsia="宋体" w:cs="Times New Roman"/>
                <w:bCs/>
                <w:sz w:val="21"/>
                <w:szCs w:val="21"/>
                <w:lang w:val="zh-CN"/>
              </w:rPr>
              <w:t>4 处置措施</w:t>
            </w:r>
          </w:p>
          <w:p>
            <w:pPr>
              <w:adjustRightInd w:val="0"/>
              <w:snapToGrid w:val="0"/>
              <w:ind w:firstLine="434" w:firstLineChars="200"/>
              <w:contextualSpacing/>
              <w:jc w:val="left"/>
              <w:rPr>
                <w:rFonts w:eastAsia="宋体" w:cs="Times New Roman"/>
                <w:sz w:val="21"/>
                <w:szCs w:val="21"/>
                <w:lang w:val="zh-CN"/>
              </w:rPr>
            </w:pPr>
            <w:r>
              <w:rPr>
                <w:rFonts w:hint="eastAsia" w:eastAsia="宋体" w:cs="Times New Roman"/>
                <w:sz w:val="21"/>
                <w:szCs w:val="21"/>
                <w:lang w:val="zh-CN"/>
              </w:rPr>
              <w:t>4.1 应急处置基本原则</w:t>
            </w:r>
          </w:p>
          <w:p>
            <w:pPr>
              <w:adjustRightInd w:val="0"/>
              <w:snapToGrid w:val="0"/>
              <w:ind w:firstLine="434" w:firstLineChars="200"/>
              <w:contextualSpacing/>
              <w:jc w:val="left"/>
              <w:rPr>
                <w:rFonts w:eastAsia="宋体" w:cs="Times New Roman"/>
                <w:sz w:val="21"/>
                <w:szCs w:val="21"/>
                <w:lang w:val="zh-CN"/>
              </w:rPr>
            </w:pPr>
            <w:r>
              <w:rPr>
                <w:rFonts w:hint="eastAsia" w:eastAsia="宋体" w:cs="Times New Roman"/>
                <w:sz w:val="21"/>
                <w:szCs w:val="21"/>
                <w:lang w:val="zh-CN"/>
              </w:rPr>
              <w:t>4.2 具体处置措施</w:t>
            </w:r>
          </w:p>
        </w:tc>
      </w:tr>
    </w:tbl>
    <w:p>
      <w:pPr>
        <w:adjustRightInd w:val="0"/>
        <w:snapToGrid w:val="0"/>
        <w:spacing w:line="360" w:lineRule="auto"/>
        <w:ind w:firstLine="434" w:firstLineChars="200"/>
        <w:contextualSpacing/>
        <w:jc w:val="center"/>
        <w:rPr>
          <w:rFonts w:eastAsia="宋体" w:cs="Times New Roman"/>
          <w:sz w:val="21"/>
          <w:szCs w:val="21"/>
        </w:rPr>
      </w:pPr>
      <w:r>
        <w:rPr>
          <w:rFonts w:eastAsia="宋体" w:cs="Times New Roman"/>
          <w:sz w:val="21"/>
          <w:szCs w:val="21"/>
        </w:rPr>
        <w:t>图</w:t>
      </w:r>
      <w:r>
        <w:rPr>
          <w:rFonts w:hint="eastAsia" w:eastAsia="宋体" w:cs="Times New Roman"/>
          <w:sz w:val="21"/>
          <w:szCs w:val="21"/>
        </w:rPr>
        <w:t>10-6专项应急预案示例</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（二）应急预案应根据有关规定报当地主管部门备案，并通报有关应急协作单位；</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应急预案应定期评审，并根据评审结果或实际情况的变化进行修订和完善；</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生产安全事故应急预案的评审、发布、培训、演练和修订应符合《生产安全事故应急预案管理办法》（应急管理部2号令）。</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预案备案证示例如下</w:t>
      </w:r>
      <w:r>
        <w:rPr>
          <w:rFonts w:hint="eastAsia" w:eastAsia="宋体" w:cs="Times New Roman"/>
          <w:sz w:val="24"/>
        </w:rPr>
        <w:t>；</w:t>
      </w:r>
      <w:r>
        <w:rPr>
          <w:rFonts w:eastAsia="宋体" w:cs="Times New Roman"/>
          <w:sz w:val="24"/>
        </w:rPr>
        <w:t>应急预案评审意见表及批准页、信息记录表、演练记录表应具备以下内容：</w:t>
      </w:r>
    </w:p>
    <w:p>
      <w:pPr>
        <w:pStyle w:val="2"/>
        <w:adjustRightInd w:val="0"/>
        <w:snapToGrid w:val="0"/>
        <w:spacing w:after="0" w:line="360" w:lineRule="auto"/>
        <w:ind w:firstLine="494" w:firstLineChars="200"/>
        <w:contextualSpacing/>
        <w:jc w:val="center"/>
        <w:rPr>
          <w:sz w:val="24"/>
          <w:szCs w:val="24"/>
        </w:rPr>
      </w:pPr>
      <w:r>
        <w:rPr>
          <w:sz w:val="24"/>
          <w:szCs w:val="24"/>
        </w:rPr>
        <w:drawing>
          <wp:inline distT="0" distB="0" distL="0" distR="0">
            <wp:extent cx="1950720" cy="2444750"/>
            <wp:effectExtent l="0" t="0" r="0" b="0"/>
            <wp:docPr id="31017" name="图片 3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7" name="图片 3101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950720" cy="2444750"/>
                    </a:xfrm>
                    <a:prstGeom prst="rect">
                      <a:avLst/>
                    </a:prstGeom>
                    <a:noFill/>
                  </pic:spPr>
                </pic:pic>
              </a:graphicData>
            </a:graphic>
          </wp:inline>
        </w:drawing>
      </w:r>
    </w:p>
    <w:p>
      <w:pPr>
        <w:pStyle w:val="2"/>
        <w:adjustRightInd w:val="0"/>
        <w:snapToGrid w:val="0"/>
        <w:spacing w:after="0" w:line="360" w:lineRule="auto"/>
        <w:ind w:firstLine="434" w:firstLineChars="200"/>
        <w:contextualSpacing/>
        <w:jc w:val="center"/>
        <w:rPr>
          <w:sz w:val="21"/>
          <w:szCs w:val="24"/>
        </w:rPr>
      </w:pPr>
      <w:r>
        <w:rPr>
          <w:sz w:val="21"/>
          <w:szCs w:val="24"/>
        </w:rPr>
        <w:t>图</w:t>
      </w:r>
      <w:r>
        <w:rPr>
          <w:rFonts w:hint="eastAsia"/>
          <w:sz w:val="21"/>
          <w:szCs w:val="24"/>
        </w:rPr>
        <w:t xml:space="preserve">10-7 </w:t>
      </w:r>
      <w:r>
        <w:rPr>
          <w:sz w:val="21"/>
          <w:szCs w:val="24"/>
        </w:rPr>
        <w:t>备案证示例</w:t>
      </w:r>
    </w:p>
    <w:p>
      <w:pPr>
        <w:pStyle w:val="2"/>
        <w:adjustRightInd w:val="0"/>
        <w:snapToGrid w:val="0"/>
        <w:spacing w:after="0" w:line="360" w:lineRule="auto"/>
        <w:contextualSpacing/>
        <w:jc w:val="left"/>
        <w:rPr>
          <w:sz w:val="24"/>
          <w:szCs w:val="24"/>
        </w:rPr>
      </w:pPr>
      <w:r>
        <w:rPr>
          <w:sz w:val="24"/>
          <w:szCs w:val="24"/>
        </w:rPr>
        <w:drawing>
          <wp:inline distT="0" distB="0" distL="0" distR="0">
            <wp:extent cx="1856740" cy="2661920"/>
            <wp:effectExtent l="0" t="0" r="0" b="5080"/>
            <wp:docPr id="42" name="图片 42" descr="C:\Users\boss\AppData\Local\Temp\WeChat Files\dcd8ebd85bd00e0b225a90e7ef37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boss\AppData\Local\Temp\WeChat Files\dcd8ebd85bd00e0b225a90e7ef37619.png"/>
                    <pic:cNvPicPr>
                      <a:picLocks noChangeAspect="1" noChangeArrowheads="1"/>
                    </pic:cNvPicPr>
                  </pic:nvPicPr>
                  <pic:blipFill>
                    <a:blip r:embed="rId166" cstate="print">
                      <a:extLst>
                        <a:ext uri="{28A0092B-C50C-407E-A947-70E740481C1C}">
                          <a14:useLocalDpi xmlns:a14="http://schemas.microsoft.com/office/drawing/2010/main" val="0"/>
                        </a:ext>
                      </a:extLst>
                    </a:blip>
                    <a:srcRect l="10162" t="5250" r="6956" b="10768"/>
                    <a:stretch>
                      <a:fillRect/>
                    </a:stretch>
                  </pic:blipFill>
                  <pic:spPr>
                    <a:xfrm>
                      <a:off x="0" y="0"/>
                      <a:ext cx="1870292" cy="2681255"/>
                    </a:xfrm>
                    <a:prstGeom prst="rect">
                      <a:avLst/>
                    </a:prstGeom>
                    <a:noFill/>
                    <a:ln>
                      <a:noFill/>
                    </a:ln>
                  </pic:spPr>
                </pic:pic>
              </a:graphicData>
            </a:graphic>
          </wp:inline>
        </w:drawing>
      </w:r>
      <w:r>
        <w:rPr>
          <w:sz w:val="24"/>
          <w:szCs w:val="24"/>
        </w:rPr>
        <w:drawing>
          <wp:inline distT="0" distB="0" distL="0" distR="0">
            <wp:extent cx="1920240" cy="2626360"/>
            <wp:effectExtent l="0" t="0" r="3810" b="2540"/>
            <wp:docPr id="250" name="图片 250" descr="C:\Users\boss\AppData\Local\Temp\WeChat Files\f71c16f0cec141c36770f1cc73b18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C:\Users\boss\AppData\Local\Temp\WeChat Files\f71c16f0cec141c36770f1cc73b18cf.png"/>
                    <pic:cNvPicPr>
                      <a:picLocks noChangeAspect="1" noChangeArrowheads="1"/>
                    </pic:cNvPicPr>
                  </pic:nvPicPr>
                  <pic:blipFill>
                    <a:blip r:embed="rId167" cstate="print">
                      <a:extLst>
                        <a:ext uri="{28A0092B-C50C-407E-A947-70E740481C1C}">
                          <a14:useLocalDpi xmlns:a14="http://schemas.microsoft.com/office/drawing/2010/main" val="0"/>
                        </a:ext>
                      </a:extLst>
                    </a:blip>
                    <a:srcRect l="12964" t="5346" r="7796" b="18042"/>
                    <a:stretch>
                      <a:fillRect/>
                    </a:stretch>
                  </pic:blipFill>
                  <pic:spPr>
                    <a:xfrm>
                      <a:off x="0" y="0"/>
                      <a:ext cx="1936112" cy="2648341"/>
                    </a:xfrm>
                    <a:prstGeom prst="rect">
                      <a:avLst/>
                    </a:prstGeom>
                    <a:noFill/>
                    <a:ln>
                      <a:noFill/>
                    </a:ln>
                  </pic:spPr>
                </pic:pic>
              </a:graphicData>
            </a:graphic>
          </wp:inline>
        </w:drawing>
      </w:r>
    </w:p>
    <w:p>
      <w:pPr>
        <w:pStyle w:val="2"/>
        <w:adjustRightInd w:val="0"/>
        <w:snapToGrid w:val="0"/>
        <w:spacing w:after="0" w:line="360" w:lineRule="auto"/>
        <w:contextualSpacing/>
        <w:jc w:val="center"/>
        <w:rPr>
          <w:sz w:val="21"/>
          <w:szCs w:val="24"/>
        </w:rPr>
      </w:pPr>
      <w:r>
        <w:rPr>
          <w:sz w:val="21"/>
          <w:szCs w:val="24"/>
        </w:rPr>
        <w:t>图</w:t>
      </w:r>
      <w:r>
        <w:rPr>
          <w:rFonts w:hint="eastAsia"/>
          <w:sz w:val="21"/>
          <w:szCs w:val="24"/>
        </w:rPr>
        <w:t>10-8 评审意见表</w:t>
      </w:r>
    </w:p>
    <w:p>
      <w:pPr>
        <w:pStyle w:val="2"/>
        <w:adjustRightInd w:val="0"/>
        <w:snapToGrid w:val="0"/>
        <w:spacing w:after="0" w:line="360" w:lineRule="auto"/>
        <w:contextualSpacing/>
        <w:jc w:val="center"/>
        <w:rPr>
          <w:sz w:val="24"/>
          <w:szCs w:val="24"/>
        </w:rPr>
      </w:pPr>
      <w:r>
        <w:rPr>
          <w:sz w:val="24"/>
          <w:szCs w:val="24"/>
        </w:rPr>
        <w:drawing>
          <wp:inline distT="0" distB="0" distL="0" distR="0">
            <wp:extent cx="1744345" cy="2395855"/>
            <wp:effectExtent l="0" t="0" r="8255" b="444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68"/>
                    <a:srcRect l="12508" t="8014" r="6958" b="13800"/>
                    <a:stretch>
                      <a:fillRect/>
                    </a:stretch>
                  </pic:blipFill>
                  <pic:spPr>
                    <a:xfrm>
                      <a:off x="0" y="0"/>
                      <a:ext cx="1749431" cy="2402767"/>
                    </a:xfrm>
                    <a:prstGeom prst="rect">
                      <a:avLst/>
                    </a:prstGeom>
                    <a:ln>
                      <a:noFill/>
                    </a:ln>
                  </pic:spPr>
                </pic:pic>
              </a:graphicData>
            </a:graphic>
          </wp:inline>
        </w:drawing>
      </w:r>
    </w:p>
    <w:p>
      <w:pPr>
        <w:pStyle w:val="2"/>
        <w:adjustRightInd w:val="0"/>
        <w:snapToGrid w:val="0"/>
        <w:spacing w:after="0" w:line="360" w:lineRule="auto"/>
        <w:ind w:firstLine="434" w:firstLineChars="200"/>
        <w:contextualSpacing/>
        <w:jc w:val="center"/>
        <w:rPr>
          <w:sz w:val="21"/>
          <w:szCs w:val="24"/>
        </w:rPr>
      </w:pPr>
      <w:r>
        <w:rPr>
          <w:rFonts w:hint="eastAsia"/>
          <w:sz w:val="21"/>
          <w:szCs w:val="24"/>
        </w:rPr>
        <w:t>图10-9 批准页示例</w:t>
      </w:r>
    </w:p>
    <w:p>
      <w:pPr>
        <w:pStyle w:val="2"/>
        <w:adjustRightInd w:val="0"/>
        <w:snapToGrid w:val="0"/>
        <w:spacing w:after="0" w:line="360" w:lineRule="auto"/>
        <w:contextualSpacing/>
        <w:jc w:val="left"/>
        <w:rPr>
          <w:sz w:val="24"/>
          <w:szCs w:val="24"/>
        </w:rPr>
      </w:pPr>
      <w:r>
        <w:rPr>
          <w:sz w:val="24"/>
          <w:szCs w:val="24"/>
        </w:rPr>
        <w:drawing>
          <wp:inline distT="0" distB="0" distL="0" distR="0">
            <wp:extent cx="1799590" cy="234823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69"/>
                    <a:stretch>
                      <a:fillRect/>
                    </a:stretch>
                  </pic:blipFill>
                  <pic:spPr>
                    <a:xfrm>
                      <a:off x="0" y="0"/>
                      <a:ext cx="1800000" cy="2348831"/>
                    </a:xfrm>
                    <a:prstGeom prst="rect">
                      <a:avLst/>
                    </a:prstGeom>
                  </pic:spPr>
                </pic:pic>
              </a:graphicData>
            </a:graphic>
          </wp:inline>
        </w:drawing>
      </w:r>
      <w:r>
        <w:rPr>
          <w:sz w:val="24"/>
          <w:szCs w:val="24"/>
        </w:rPr>
        <w:drawing>
          <wp:inline distT="0" distB="0" distL="0" distR="0">
            <wp:extent cx="1800225" cy="2379980"/>
            <wp:effectExtent l="0" t="0" r="0" b="127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70"/>
                    <a:stretch>
                      <a:fillRect/>
                    </a:stretch>
                  </pic:blipFill>
                  <pic:spPr>
                    <a:xfrm>
                      <a:off x="0" y="0"/>
                      <a:ext cx="1800000" cy="2380138"/>
                    </a:xfrm>
                    <a:prstGeom prst="rect">
                      <a:avLst/>
                    </a:prstGeom>
                  </pic:spPr>
                </pic:pic>
              </a:graphicData>
            </a:graphic>
          </wp:inline>
        </w:drawing>
      </w:r>
    </w:p>
    <w:p>
      <w:pPr>
        <w:pStyle w:val="2"/>
        <w:adjustRightInd w:val="0"/>
        <w:snapToGrid w:val="0"/>
        <w:spacing w:after="0" w:line="360" w:lineRule="auto"/>
        <w:ind w:firstLine="434" w:firstLineChars="200"/>
        <w:contextualSpacing/>
        <w:jc w:val="center"/>
        <w:rPr>
          <w:sz w:val="21"/>
          <w:szCs w:val="24"/>
        </w:rPr>
      </w:pPr>
      <w:r>
        <w:rPr>
          <w:sz w:val="21"/>
          <w:szCs w:val="24"/>
        </w:rPr>
        <w:t>图</w:t>
      </w:r>
      <w:r>
        <w:rPr>
          <w:rFonts w:hint="eastAsia"/>
          <w:sz w:val="21"/>
          <w:szCs w:val="24"/>
        </w:rPr>
        <w:t xml:space="preserve">10-10 </w:t>
      </w:r>
      <w:r>
        <w:rPr>
          <w:sz w:val="21"/>
          <w:szCs w:val="24"/>
        </w:rPr>
        <w:t>信息记录表、演练记录表示例</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三、应急设施装备物资</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企业应按规定建立应急设施，配备应急装备，储备应急物资，并进行经常性的检查、维护、保养，确保其完好、可靠；</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 xml:space="preserve">1.按应急预案的要求，建立应急设施，配备应急装备，储备应急物资。 </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企业应对应急物资数量、储存地点进行统计，并按类别归类。</w:t>
      </w:r>
    </w:p>
    <w:p>
      <w:pPr>
        <w:pStyle w:val="2"/>
        <w:adjustRightInd w:val="0"/>
        <w:snapToGrid w:val="0"/>
        <w:spacing w:after="0" w:line="360" w:lineRule="auto"/>
        <w:contextualSpacing/>
        <w:jc w:val="left"/>
        <w:rPr>
          <w:sz w:val="24"/>
          <w:szCs w:val="24"/>
        </w:rPr>
      </w:pPr>
      <w:r>
        <w:rPr>
          <w:sz w:val="24"/>
          <w:szCs w:val="24"/>
        </w:rPr>
        <w:drawing>
          <wp:inline distT="0" distB="0" distL="0" distR="0">
            <wp:extent cx="1814195" cy="2743200"/>
            <wp:effectExtent l="0" t="0" r="0" b="0"/>
            <wp:docPr id="31018" name="图片 31018" descr="C:\Users\boss\AppData\Local\Temp\WeChat Files\2d19f028fc5136e4f5086d8ff676a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8" name="图片 31018" descr="C:\Users\boss\AppData\Local\Temp\WeChat Files\2d19f028fc5136e4f5086d8ff676adc.png"/>
                    <pic:cNvPicPr>
                      <a:picLocks noChangeAspect="1" noChangeArrowheads="1"/>
                    </pic:cNvPicPr>
                  </pic:nvPicPr>
                  <pic:blipFill>
                    <a:blip r:embed="rId171" cstate="print">
                      <a:extLst>
                        <a:ext uri="{28A0092B-C50C-407E-A947-70E740481C1C}">
                          <a14:useLocalDpi xmlns:a14="http://schemas.microsoft.com/office/drawing/2010/main" val="0"/>
                        </a:ext>
                      </a:extLst>
                    </a:blip>
                    <a:srcRect l="8599" t="5525" r="8138" b="5509"/>
                    <a:stretch>
                      <a:fillRect/>
                    </a:stretch>
                  </pic:blipFill>
                  <pic:spPr>
                    <a:xfrm>
                      <a:off x="0" y="0"/>
                      <a:ext cx="1814733" cy="2743399"/>
                    </a:xfrm>
                    <a:prstGeom prst="rect">
                      <a:avLst/>
                    </a:prstGeom>
                    <a:noFill/>
                    <a:ln>
                      <a:noFill/>
                    </a:ln>
                  </pic:spPr>
                </pic:pic>
              </a:graphicData>
            </a:graphic>
          </wp:inline>
        </w:drawing>
      </w:r>
      <w:r>
        <w:rPr>
          <w:sz w:val="24"/>
          <w:szCs w:val="24"/>
        </w:rPr>
        <w:drawing>
          <wp:inline distT="0" distB="0" distL="0" distR="0">
            <wp:extent cx="1798955" cy="2802890"/>
            <wp:effectExtent l="0" t="0" r="0" b="0"/>
            <wp:docPr id="31019" name="图片 31019" descr="C:\Users\boss\AppData\Local\Temp\WeChat Files\5979ed5a890e6e1ac12c1d8679c6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9" name="图片 31019" descr="C:\Users\boss\AppData\Local\Temp\WeChat Files\5979ed5a890e6e1ac12c1d8679c6596.jpg"/>
                    <pic:cNvPicPr>
                      <a:picLocks noChangeAspect="1" noChangeArrowheads="1"/>
                    </pic:cNvPicPr>
                  </pic:nvPicPr>
                  <pic:blipFill>
                    <a:blip r:embed="rId172" cstate="print">
                      <a:extLst>
                        <a:ext uri="{28A0092B-C50C-407E-A947-70E740481C1C}">
                          <a14:useLocalDpi xmlns:a14="http://schemas.microsoft.com/office/drawing/2010/main" val="0"/>
                        </a:ext>
                      </a:extLst>
                    </a:blip>
                    <a:srcRect l="10162" t="5249" r="9317" b="6072"/>
                    <a:stretch>
                      <a:fillRect/>
                    </a:stretch>
                  </pic:blipFill>
                  <pic:spPr>
                    <a:xfrm>
                      <a:off x="0" y="0"/>
                      <a:ext cx="1799150" cy="2803408"/>
                    </a:xfrm>
                    <a:prstGeom prst="rect">
                      <a:avLst/>
                    </a:prstGeom>
                    <a:noFill/>
                    <a:ln>
                      <a:noFill/>
                    </a:ln>
                  </pic:spPr>
                </pic:pic>
              </a:graphicData>
            </a:graphic>
          </wp:inline>
        </w:drawing>
      </w:r>
    </w:p>
    <w:p>
      <w:pPr>
        <w:adjustRightInd w:val="0"/>
        <w:snapToGrid w:val="0"/>
        <w:spacing w:line="360" w:lineRule="auto"/>
        <w:ind w:firstLine="434" w:firstLineChars="200"/>
        <w:contextualSpacing/>
        <w:jc w:val="center"/>
        <w:rPr>
          <w:rFonts w:eastAsia="宋体" w:cs="Times New Roman"/>
          <w:sz w:val="21"/>
        </w:rPr>
      </w:pPr>
      <w:r>
        <w:rPr>
          <w:rFonts w:eastAsia="宋体" w:cs="Times New Roman"/>
          <w:sz w:val="21"/>
        </w:rPr>
        <w:t>图</w:t>
      </w:r>
      <w:r>
        <w:rPr>
          <w:rFonts w:hint="eastAsia" w:eastAsia="宋体" w:cs="Times New Roman"/>
          <w:sz w:val="21"/>
        </w:rPr>
        <w:t xml:space="preserve">10-11 </w:t>
      </w:r>
      <w:r>
        <w:rPr>
          <w:rFonts w:eastAsia="宋体" w:cs="Times New Roman"/>
          <w:sz w:val="21"/>
        </w:rPr>
        <w:t>应急物资清单范例</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2.对应急设施、装备和物资进行经常性的检查、维护、保养，确保其完好可靠。</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以台帐的形式对应急设施、装备和物资检查维护情况进行记录。</w:t>
      </w:r>
    </w:p>
    <w:p>
      <w:pPr>
        <w:pStyle w:val="2"/>
        <w:adjustRightInd w:val="0"/>
        <w:snapToGrid w:val="0"/>
        <w:spacing w:after="0" w:line="360" w:lineRule="auto"/>
        <w:contextualSpacing/>
        <w:jc w:val="left"/>
        <w:rPr>
          <w:sz w:val="24"/>
          <w:szCs w:val="24"/>
        </w:rPr>
      </w:pPr>
      <w:r>
        <w:rPr>
          <w:sz w:val="24"/>
          <w:szCs w:val="24"/>
        </w:rPr>
        <w:drawing>
          <wp:inline distT="0" distB="0" distL="0" distR="0">
            <wp:extent cx="3599815" cy="1785620"/>
            <wp:effectExtent l="0" t="0" r="635" b="5080"/>
            <wp:docPr id="7174" name="图片 7174" descr="C:\Users\boss\AppData\Local\Temp\WeChat Files\9eaff9804ca570ffc0bb7968f3628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图片 7174" descr="C:\Users\boss\AppData\Local\Temp\WeChat Files\9eaff9804ca570ffc0bb7968f36288a.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a:xfrm>
                      <a:off x="0" y="0"/>
                      <a:ext cx="3600000" cy="1786087"/>
                    </a:xfrm>
                    <a:prstGeom prst="rect">
                      <a:avLst/>
                    </a:prstGeom>
                    <a:noFill/>
                    <a:ln>
                      <a:noFill/>
                    </a:ln>
                  </pic:spPr>
                </pic:pic>
              </a:graphicData>
            </a:graphic>
          </wp:inline>
        </w:drawing>
      </w:r>
    </w:p>
    <w:p>
      <w:pPr>
        <w:pStyle w:val="2"/>
        <w:adjustRightInd w:val="0"/>
        <w:snapToGrid w:val="0"/>
        <w:spacing w:after="0" w:line="360" w:lineRule="auto"/>
        <w:ind w:firstLine="434" w:firstLineChars="200"/>
        <w:contextualSpacing/>
        <w:jc w:val="center"/>
        <w:rPr>
          <w:sz w:val="21"/>
          <w:szCs w:val="24"/>
        </w:rPr>
      </w:pPr>
      <w:r>
        <w:rPr>
          <w:sz w:val="21"/>
          <w:szCs w:val="24"/>
        </w:rPr>
        <w:t>图</w:t>
      </w:r>
      <w:r>
        <w:rPr>
          <w:rFonts w:hint="eastAsia"/>
          <w:sz w:val="21"/>
          <w:szCs w:val="24"/>
        </w:rPr>
        <w:t xml:space="preserve">10-12 </w:t>
      </w:r>
      <w:r>
        <w:rPr>
          <w:sz w:val="21"/>
          <w:szCs w:val="24"/>
        </w:rPr>
        <w:t>应急物资检查表示例</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四、应急演练</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企业应组织生产安全事故应急演练，并对演练效果进行评估。根据评估结果，修订、完善应急预案，改进应急管理工作；</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1.制定应急预案演练计划，每年至少组织一次综合应急预案演练或者专项应急预案演练，每半年至少组织一次现场处置方案演练。</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事故预案演练记录表应至少包含以下内容</w:t>
      </w:r>
      <w:r>
        <w:rPr>
          <w:rFonts w:hint="eastAsia" w:eastAsia="宋体" w:cs="Times New Roman"/>
          <w:sz w:val="24"/>
        </w:rPr>
        <w:t>：</w:t>
      </w:r>
    </w:p>
    <w:p>
      <w:pPr>
        <w:pStyle w:val="2"/>
        <w:adjustRightInd w:val="0"/>
        <w:snapToGrid w:val="0"/>
        <w:spacing w:after="0" w:line="360" w:lineRule="auto"/>
        <w:contextualSpacing/>
        <w:jc w:val="center"/>
        <w:rPr>
          <w:sz w:val="24"/>
          <w:szCs w:val="24"/>
        </w:rPr>
      </w:pPr>
      <w:r>
        <w:rPr>
          <w:sz w:val="24"/>
          <w:szCs w:val="24"/>
        </w:rPr>
        <w:drawing>
          <wp:inline distT="0" distB="0" distL="0" distR="0">
            <wp:extent cx="2312670" cy="3107690"/>
            <wp:effectExtent l="0" t="0" r="0" b="0"/>
            <wp:docPr id="31020" name="图片 31020" descr="C:\Users\boss\AppData\Local\Temp\WeChat Files\20a75e653947261a449247da3dca0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0" name="图片 31020" descr="C:\Users\boss\AppData\Local\Temp\WeChat Files\20a75e653947261a449247da3dca0d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a:xfrm>
                      <a:off x="0" y="0"/>
                      <a:ext cx="2323533" cy="3121573"/>
                    </a:xfrm>
                    <a:prstGeom prst="rect">
                      <a:avLst/>
                    </a:prstGeom>
                    <a:noFill/>
                    <a:ln>
                      <a:noFill/>
                    </a:ln>
                  </pic:spPr>
                </pic:pic>
              </a:graphicData>
            </a:graphic>
          </wp:inline>
        </w:drawing>
      </w:r>
    </w:p>
    <w:p>
      <w:pPr>
        <w:adjustRightInd w:val="0"/>
        <w:snapToGrid w:val="0"/>
        <w:spacing w:line="360" w:lineRule="auto"/>
        <w:ind w:firstLine="434" w:firstLineChars="200"/>
        <w:contextualSpacing/>
        <w:jc w:val="center"/>
        <w:rPr>
          <w:rFonts w:eastAsia="宋体" w:cs="Times New Roman"/>
          <w:sz w:val="21"/>
        </w:rPr>
      </w:pPr>
      <w:r>
        <w:rPr>
          <w:rFonts w:eastAsia="宋体" w:cs="Times New Roman"/>
          <w:sz w:val="21"/>
        </w:rPr>
        <w:t>图</w:t>
      </w:r>
      <w:r>
        <w:rPr>
          <w:rFonts w:hint="eastAsia" w:eastAsia="宋体" w:cs="Times New Roman"/>
          <w:sz w:val="21"/>
        </w:rPr>
        <w:t xml:space="preserve">10-13 </w:t>
      </w:r>
      <w:r>
        <w:rPr>
          <w:rFonts w:eastAsia="宋体" w:cs="Times New Roman"/>
          <w:sz w:val="21"/>
        </w:rPr>
        <w:t>事故预案演练记录表示例</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2.对应急演练的效果进行评估。</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企业应对应急演练</w:t>
      </w:r>
      <w:r>
        <w:rPr>
          <w:rFonts w:hint="eastAsia" w:eastAsia="宋体" w:cs="Times New Roman"/>
          <w:sz w:val="24"/>
        </w:rPr>
        <w:t>及评审结果</w:t>
      </w:r>
      <w:r>
        <w:rPr>
          <w:rFonts w:eastAsia="宋体" w:cs="Times New Roman"/>
          <w:sz w:val="24"/>
        </w:rPr>
        <w:t>进行记录。</w:t>
      </w:r>
    </w:p>
    <w:p>
      <w:pPr>
        <w:pStyle w:val="2"/>
        <w:adjustRightInd w:val="0"/>
        <w:snapToGrid w:val="0"/>
        <w:spacing w:after="0" w:line="360" w:lineRule="auto"/>
        <w:contextualSpacing/>
        <w:jc w:val="center"/>
        <w:rPr>
          <w:sz w:val="24"/>
          <w:szCs w:val="24"/>
        </w:rPr>
      </w:pPr>
      <w:r>
        <w:rPr>
          <w:sz w:val="24"/>
          <w:szCs w:val="24"/>
        </w:rPr>
        <w:drawing>
          <wp:inline distT="0" distB="0" distL="0" distR="0">
            <wp:extent cx="1799590" cy="2475865"/>
            <wp:effectExtent l="0" t="0" r="0" b="635"/>
            <wp:docPr id="7195" name="图片 7195" descr="C:\Users\boss\AppData\Local\Temp\WeChat Files\5733c04576cd4bfcd1d6023e6b6e1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 name="图片 7195" descr="C:\Users\boss\AppData\Local\Temp\WeChat Files\5733c04576cd4bfcd1d6023e6b6e1c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1800000" cy="2476258"/>
                    </a:xfrm>
                    <a:prstGeom prst="rect">
                      <a:avLst/>
                    </a:prstGeom>
                    <a:noFill/>
                    <a:ln>
                      <a:noFill/>
                    </a:ln>
                  </pic:spPr>
                </pic:pic>
              </a:graphicData>
            </a:graphic>
          </wp:inline>
        </w:drawing>
      </w:r>
    </w:p>
    <w:p>
      <w:pPr>
        <w:pStyle w:val="2"/>
        <w:adjustRightInd w:val="0"/>
        <w:snapToGrid w:val="0"/>
        <w:spacing w:after="0" w:line="360" w:lineRule="auto"/>
        <w:ind w:firstLine="434" w:firstLineChars="200"/>
        <w:contextualSpacing/>
        <w:jc w:val="center"/>
        <w:rPr>
          <w:sz w:val="21"/>
          <w:szCs w:val="24"/>
        </w:rPr>
      </w:pPr>
      <w:r>
        <w:rPr>
          <w:sz w:val="21"/>
          <w:szCs w:val="24"/>
        </w:rPr>
        <w:t>图</w:t>
      </w:r>
      <w:r>
        <w:rPr>
          <w:rFonts w:hint="eastAsia"/>
          <w:sz w:val="21"/>
          <w:szCs w:val="24"/>
        </w:rPr>
        <w:t xml:space="preserve">10-14 </w:t>
      </w:r>
      <w:r>
        <w:rPr>
          <w:sz w:val="21"/>
          <w:szCs w:val="24"/>
        </w:rPr>
        <w:t>应急预案演练人员签到表示例</w:t>
      </w:r>
    </w:p>
    <w:p>
      <w:pPr>
        <w:pStyle w:val="2"/>
        <w:adjustRightInd w:val="0"/>
        <w:snapToGrid w:val="0"/>
        <w:spacing w:after="0" w:line="360" w:lineRule="auto"/>
        <w:contextualSpacing/>
        <w:jc w:val="center"/>
        <w:rPr>
          <w:sz w:val="24"/>
          <w:szCs w:val="24"/>
        </w:rPr>
      </w:pPr>
      <w:r>
        <w:rPr>
          <w:sz w:val="24"/>
          <w:szCs w:val="24"/>
        </w:rPr>
        <w:drawing>
          <wp:inline distT="0" distB="0" distL="0" distR="0">
            <wp:extent cx="1799590" cy="2099310"/>
            <wp:effectExtent l="0" t="0" r="0" b="0"/>
            <wp:docPr id="7196" name="图片 7196" descr="C:\Users\boss\AppData\Local\Temp\WeChat Files\4543beb19c9c947ed0ba5b29457f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 name="图片 7196" descr="C:\Users\boss\AppData\Local\Temp\WeChat Files\4543beb19c9c947ed0ba5b29457fe47.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1800000" cy="2099416"/>
                    </a:xfrm>
                    <a:prstGeom prst="rect">
                      <a:avLst/>
                    </a:prstGeom>
                    <a:noFill/>
                    <a:ln>
                      <a:noFill/>
                    </a:ln>
                  </pic:spPr>
                </pic:pic>
              </a:graphicData>
            </a:graphic>
          </wp:inline>
        </w:drawing>
      </w:r>
    </w:p>
    <w:p>
      <w:pPr>
        <w:pStyle w:val="2"/>
        <w:adjustRightInd w:val="0"/>
        <w:snapToGrid w:val="0"/>
        <w:spacing w:after="0" w:line="360" w:lineRule="auto"/>
        <w:ind w:firstLine="434" w:firstLineChars="200"/>
        <w:contextualSpacing/>
        <w:jc w:val="center"/>
        <w:rPr>
          <w:sz w:val="21"/>
          <w:szCs w:val="24"/>
        </w:rPr>
      </w:pPr>
      <w:r>
        <w:rPr>
          <w:sz w:val="21"/>
          <w:szCs w:val="24"/>
        </w:rPr>
        <w:t>图</w:t>
      </w:r>
      <w:r>
        <w:rPr>
          <w:rFonts w:hint="eastAsia"/>
          <w:sz w:val="21"/>
          <w:szCs w:val="24"/>
        </w:rPr>
        <w:t xml:space="preserve">10-15 </w:t>
      </w:r>
      <w:r>
        <w:rPr>
          <w:sz w:val="21"/>
          <w:szCs w:val="24"/>
        </w:rPr>
        <w:t>应急预案演练评审记录表示例</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五、事故救援</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企业发生事故后，应立即启动相关应急预案，积极开展事故救援；</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1.发生事故后，应立即启动相关应急预案，积极开展事故救援。</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2.应急结束后，应编制应急救援报告。</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应急救援报告应至少具备以下内容：</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9" w:type="dxa"/>
            <w:gridSpan w:val="2"/>
          </w:tcPr>
          <w:p>
            <w:pPr>
              <w:pStyle w:val="2"/>
              <w:spacing w:after="0"/>
              <w:jc w:val="center"/>
              <w:rPr>
                <w:sz w:val="21"/>
                <w:szCs w:val="21"/>
              </w:rPr>
            </w:pPr>
            <w:r>
              <w:rPr>
                <w:sz w:val="21"/>
                <w:szCs w:val="21"/>
              </w:rPr>
              <w:t>应急救援报告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9" w:type="dxa"/>
          </w:tcPr>
          <w:p>
            <w:pPr>
              <w:pStyle w:val="2"/>
              <w:spacing w:after="0"/>
              <w:rPr>
                <w:sz w:val="21"/>
                <w:szCs w:val="21"/>
              </w:rPr>
            </w:pPr>
            <w:r>
              <w:rPr>
                <w:rFonts w:hint="eastAsia"/>
                <w:sz w:val="21"/>
                <w:szCs w:val="21"/>
              </w:rPr>
              <w:t>1 事故简介</w:t>
            </w:r>
          </w:p>
          <w:p>
            <w:pPr>
              <w:pStyle w:val="2"/>
              <w:spacing w:after="0"/>
              <w:rPr>
                <w:sz w:val="21"/>
                <w:szCs w:val="21"/>
              </w:rPr>
            </w:pPr>
            <w:r>
              <w:rPr>
                <w:rFonts w:hint="eastAsia"/>
                <w:sz w:val="21"/>
                <w:szCs w:val="21"/>
              </w:rPr>
              <w:t>2 参加人员</w:t>
            </w:r>
          </w:p>
          <w:p>
            <w:pPr>
              <w:pStyle w:val="2"/>
              <w:spacing w:after="0"/>
              <w:rPr>
                <w:sz w:val="21"/>
                <w:szCs w:val="21"/>
              </w:rPr>
            </w:pPr>
            <w:r>
              <w:rPr>
                <w:rFonts w:hint="eastAsia"/>
                <w:sz w:val="21"/>
                <w:szCs w:val="21"/>
              </w:rPr>
              <w:t>3 救援经过</w:t>
            </w:r>
          </w:p>
        </w:tc>
        <w:tc>
          <w:tcPr>
            <w:tcW w:w="3170" w:type="dxa"/>
          </w:tcPr>
          <w:p>
            <w:pPr>
              <w:pStyle w:val="2"/>
              <w:spacing w:after="0"/>
              <w:rPr>
                <w:sz w:val="21"/>
                <w:szCs w:val="21"/>
              </w:rPr>
            </w:pPr>
            <w:r>
              <w:rPr>
                <w:rFonts w:hint="eastAsia"/>
                <w:sz w:val="21"/>
                <w:szCs w:val="21"/>
              </w:rPr>
              <w:t>4 救援结果</w:t>
            </w:r>
          </w:p>
          <w:p>
            <w:pPr>
              <w:pStyle w:val="2"/>
              <w:spacing w:after="0"/>
              <w:rPr>
                <w:sz w:val="21"/>
                <w:szCs w:val="21"/>
              </w:rPr>
            </w:pPr>
            <w:r>
              <w:rPr>
                <w:rFonts w:hint="eastAsia"/>
                <w:sz w:val="21"/>
                <w:szCs w:val="21"/>
              </w:rPr>
              <w:t>5 存在的不足</w:t>
            </w:r>
          </w:p>
          <w:p>
            <w:pPr>
              <w:pStyle w:val="2"/>
              <w:spacing w:after="0"/>
              <w:rPr>
                <w:sz w:val="21"/>
                <w:szCs w:val="21"/>
              </w:rPr>
            </w:pPr>
            <w:r>
              <w:rPr>
                <w:rFonts w:hint="eastAsia"/>
                <w:sz w:val="21"/>
                <w:szCs w:val="21"/>
              </w:rPr>
              <w:t>6 改进措施</w:t>
            </w:r>
          </w:p>
        </w:tc>
      </w:tr>
    </w:tbl>
    <w:p>
      <w:pPr>
        <w:adjustRightInd w:val="0"/>
        <w:snapToGrid w:val="0"/>
        <w:spacing w:line="360" w:lineRule="auto"/>
        <w:ind w:firstLine="434" w:firstLineChars="200"/>
        <w:contextualSpacing/>
        <w:jc w:val="center"/>
        <w:rPr>
          <w:rFonts w:eastAsia="宋体" w:cs="Times New Roman"/>
          <w:sz w:val="21"/>
        </w:rPr>
      </w:pPr>
      <w:r>
        <w:rPr>
          <w:rFonts w:eastAsia="宋体" w:cs="Times New Roman"/>
          <w:sz w:val="21"/>
        </w:rPr>
        <w:t>图</w:t>
      </w:r>
      <w:r>
        <w:rPr>
          <w:rFonts w:hint="eastAsia" w:eastAsia="宋体" w:cs="Times New Roman"/>
          <w:sz w:val="21"/>
        </w:rPr>
        <w:t xml:space="preserve">10-16 </w:t>
      </w:r>
      <w:r>
        <w:rPr>
          <w:rFonts w:eastAsia="宋体" w:cs="Times New Roman"/>
          <w:sz w:val="21"/>
        </w:rPr>
        <w:t>应急救援报告示例</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六、材料清单</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事故应急救援制度范本；2.应急组织机构及职责范本；3.专业资质的应急救援队伍签订服务协议示例；4.教育训练签到表范本；5.生产安全事故应急预案目录示例；6.专项应急预案示例；7.备案证示例；8.评审意见表、批准页示例；9.信息记录表、演练记录表示例；10.应急物资清单范例；1</w:t>
      </w:r>
      <w:r>
        <w:rPr>
          <w:rFonts w:hint="eastAsia" w:eastAsia="宋体" w:cs="Times New Roman"/>
          <w:sz w:val="24"/>
        </w:rPr>
        <w:t>1</w:t>
      </w:r>
      <w:r>
        <w:rPr>
          <w:rFonts w:eastAsia="宋体" w:cs="Times New Roman"/>
          <w:sz w:val="24"/>
        </w:rPr>
        <w:t>.应急物资检查表示例；1</w:t>
      </w:r>
      <w:r>
        <w:rPr>
          <w:rFonts w:hint="eastAsia" w:eastAsia="宋体" w:cs="Times New Roman"/>
          <w:sz w:val="24"/>
        </w:rPr>
        <w:t>2</w:t>
      </w:r>
      <w:r>
        <w:rPr>
          <w:rFonts w:eastAsia="宋体" w:cs="Times New Roman"/>
          <w:sz w:val="24"/>
        </w:rPr>
        <w:t>.事故预案演练记录表示例；1</w:t>
      </w:r>
      <w:r>
        <w:rPr>
          <w:rFonts w:hint="eastAsia" w:eastAsia="宋体" w:cs="Times New Roman"/>
          <w:sz w:val="24"/>
        </w:rPr>
        <w:t>3</w:t>
      </w:r>
      <w:r>
        <w:rPr>
          <w:rFonts w:eastAsia="宋体" w:cs="Times New Roman"/>
          <w:sz w:val="24"/>
        </w:rPr>
        <w:t>.应急预案演练人员签到表示例；1</w:t>
      </w:r>
      <w:r>
        <w:rPr>
          <w:rFonts w:hint="eastAsia" w:eastAsia="宋体" w:cs="Times New Roman"/>
          <w:sz w:val="24"/>
        </w:rPr>
        <w:t>4</w:t>
      </w:r>
      <w:r>
        <w:rPr>
          <w:rFonts w:eastAsia="宋体" w:cs="Times New Roman"/>
          <w:sz w:val="24"/>
        </w:rPr>
        <w:t>.应急预案演练评审记录表示例；1</w:t>
      </w:r>
      <w:r>
        <w:rPr>
          <w:rFonts w:hint="eastAsia" w:eastAsia="宋体" w:cs="Times New Roman"/>
          <w:sz w:val="24"/>
        </w:rPr>
        <w:t>5</w:t>
      </w:r>
      <w:r>
        <w:rPr>
          <w:rFonts w:eastAsia="宋体" w:cs="Times New Roman"/>
          <w:sz w:val="24"/>
        </w:rPr>
        <w:t>.应急救援注意事项；1</w:t>
      </w:r>
      <w:r>
        <w:rPr>
          <w:rFonts w:hint="eastAsia" w:eastAsia="宋体" w:cs="Times New Roman"/>
          <w:sz w:val="24"/>
        </w:rPr>
        <w:t>6</w:t>
      </w:r>
      <w:r>
        <w:rPr>
          <w:rFonts w:eastAsia="宋体" w:cs="Times New Roman"/>
          <w:sz w:val="24"/>
        </w:rPr>
        <w:t>.应急救援报告示例。</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七、引用的法规和标准</w:t>
      </w:r>
    </w:p>
    <w:p>
      <w:pPr>
        <w:adjustRightInd w:val="0"/>
        <w:snapToGrid w:val="0"/>
        <w:spacing w:line="360" w:lineRule="auto"/>
        <w:ind w:firstLine="494" w:firstLineChars="200"/>
        <w:contextualSpacing/>
        <w:jc w:val="left"/>
        <w:rPr>
          <w:rFonts w:eastAsia="宋体" w:cs="Times New Roman"/>
          <w:b/>
          <w:sz w:val="24"/>
        </w:rPr>
      </w:pPr>
      <w:r>
        <w:rPr>
          <w:rFonts w:eastAsia="宋体" w:cs="Times New Roman"/>
          <w:b/>
          <w:sz w:val="24"/>
        </w:rPr>
        <w:t>1、《中华人民共和国突发事件应对法》中华人民共和国主席令第69号；（2007年8月30日第十届全国人民代表大会常务委员会第二十九次会议于通过，2020年04月26日修改工作启动）</w:t>
      </w:r>
    </w:p>
    <w:p>
      <w:pPr>
        <w:adjustRightInd w:val="0"/>
        <w:snapToGrid w:val="0"/>
        <w:spacing w:line="360" w:lineRule="auto"/>
        <w:ind w:firstLine="494" w:firstLineChars="200"/>
        <w:contextualSpacing/>
        <w:jc w:val="left"/>
        <w:rPr>
          <w:rFonts w:eastAsia="宋体" w:cs="Times New Roman"/>
          <w:b/>
          <w:sz w:val="24"/>
        </w:rPr>
      </w:pPr>
      <w:r>
        <w:rPr>
          <w:rFonts w:eastAsia="宋体" w:cs="Times New Roman"/>
          <w:b/>
          <w:sz w:val="24"/>
        </w:rPr>
        <w:t>2、《中华人民共和国安全生产法》（2021修正）中华人民共和国主席令第88号；（2021年6月10日第十三届全国人民代表大会常务委员会第二十九次会议修订）</w:t>
      </w:r>
    </w:p>
    <w:p>
      <w:pPr>
        <w:pStyle w:val="2"/>
        <w:adjustRightInd w:val="0"/>
        <w:snapToGrid w:val="0"/>
        <w:spacing w:after="0" w:line="360" w:lineRule="auto"/>
        <w:ind w:firstLine="494" w:firstLineChars="200"/>
        <w:contextualSpacing/>
        <w:jc w:val="left"/>
        <w:rPr>
          <w:b/>
          <w:sz w:val="24"/>
          <w:szCs w:val="24"/>
        </w:rPr>
      </w:pPr>
      <w:r>
        <w:rPr>
          <w:b/>
          <w:sz w:val="24"/>
          <w:szCs w:val="24"/>
        </w:rPr>
        <w:t>3、GB/T 29639-2020《生产经营单位生产安全事故应急预案编制导则》</w:t>
      </w:r>
    </w:p>
    <w:p>
      <w:pPr>
        <w:pStyle w:val="2"/>
        <w:adjustRightInd w:val="0"/>
        <w:snapToGrid w:val="0"/>
        <w:spacing w:after="0" w:line="360" w:lineRule="auto"/>
        <w:ind w:firstLine="494" w:firstLineChars="200"/>
        <w:contextualSpacing/>
        <w:jc w:val="left"/>
        <w:rPr>
          <w:sz w:val="24"/>
          <w:szCs w:val="24"/>
        </w:rPr>
      </w:pPr>
    </w:p>
    <w:p>
      <w:pPr>
        <w:pStyle w:val="3"/>
        <w:adjustRightInd w:val="0"/>
        <w:snapToGrid w:val="0"/>
        <w:spacing w:before="0" w:after="0" w:line="360" w:lineRule="auto"/>
        <w:ind w:firstLine="494" w:firstLineChars="200"/>
        <w:contextualSpacing/>
        <w:jc w:val="left"/>
        <w:outlineLvl w:val="9"/>
        <w:rPr>
          <w:rFonts w:eastAsia="宋体" w:cs="Times New Roman"/>
          <w:sz w:val="24"/>
          <w:szCs w:val="24"/>
        </w:rPr>
        <w:sectPr>
          <w:headerReference r:id="rId7" w:type="first"/>
          <w:footerReference r:id="rId10" w:type="first"/>
          <w:headerReference r:id="rId5" w:type="default"/>
          <w:footerReference r:id="rId8" w:type="default"/>
          <w:headerReference r:id="rId6" w:type="even"/>
          <w:footerReference r:id="rId9" w:type="even"/>
          <w:pgSz w:w="8391" w:h="11907"/>
          <w:pgMar w:top="1418" w:right="1134" w:bottom="1077" w:left="1134" w:header="851" w:footer="992" w:gutter="0"/>
          <w:cols w:space="0" w:num="1"/>
          <w:docGrid w:type="linesAndChars" w:linePitch="449" w:charSpace="1547"/>
        </w:sectPr>
      </w:pPr>
      <w:bookmarkStart w:id="59" w:name="_Toc7252"/>
    </w:p>
    <w:p>
      <w:pPr>
        <w:adjustRightInd w:val="0"/>
        <w:snapToGrid w:val="0"/>
        <w:spacing w:line="360" w:lineRule="auto"/>
        <w:contextualSpacing/>
        <w:jc w:val="center"/>
        <w:outlineLvl w:val="0"/>
        <w:rPr>
          <w:rFonts w:eastAsia="黑体" w:cs="Times New Roman"/>
          <w:sz w:val="28"/>
          <w:szCs w:val="28"/>
        </w:rPr>
      </w:pPr>
      <w:bookmarkStart w:id="60" w:name="_Toc16641"/>
      <w:r>
        <w:rPr>
          <w:rFonts w:eastAsia="黑体" w:cs="Times New Roman"/>
          <w:sz w:val="28"/>
          <w:szCs w:val="28"/>
        </w:rPr>
        <w:t>第十一章</w:t>
      </w:r>
      <w:r>
        <w:rPr>
          <w:rFonts w:hint="eastAsia" w:eastAsia="黑体" w:cs="Times New Roman"/>
          <w:sz w:val="28"/>
          <w:szCs w:val="28"/>
        </w:rPr>
        <w:t xml:space="preserve"> </w:t>
      </w:r>
      <w:r>
        <w:rPr>
          <w:rFonts w:eastAsia="黑体" w:cs="Times New Roman"/>
          <w:sz w:val="28"/>
          <w:szCs w:val="28"/>
        </w:rPr>
        <w:t>事故报告、调查和处理</w:t>
      </w:r>
      <w:bookmarkEnd w:id="59"/>
      <w:bookmarkEnd w:id="60"/>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（企业落实安全生产主体责任检查要点20条第19、20条）</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bookmarkStart w:id="61" w:name="_Toc10675"/>
      <w:bookmarkStart w:id="62" w:name="_Toc27744"/>
      <w:bookmarkStart w:id="63" w:name="_Toc17224"/>
      <w:r>
        <w:rPr>
          <w:rFonts w:ascii="Times New Roman" w:hAnsi="Times New Roman" w:eastAsia="宋体" w:cs="Times New Roman"/>
          <w:bCs w:val="0"/>
          <w:sz w:val="24"/>
          <w:szCs w:val="24"/>
        </w:rPr>
        <w:t>一、事故报告</w:t>
      </w:r>
      <w:bookmarkEnd w:id="61"/>
      <w:bookmarkEnd w:id="62"/>
      <w:bookmarkEnd w:id="63"/>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企业发生事故后，应按规定及时向上级单位、政府有关部门报告，并妥善保护事故现场及有关证据。必要时向相关单位和人员通报；</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1.建立事故的管理制度，明确报告、调查、统计与分析、回顾、书面报告样式和表格等内容。</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企业应建立健全事故事件管理制度，制度内容应至少包含以下内容：</w:t>
      </w:r>
    </w:p>
    <w:p>
      <w:pPr>
        <w:adjustRightInd w:val="0"/>
        <w:snapToGrid w:val="0"/>
        <w:spacing w:line="360" w:lineRule="auto"/>
        <w:ind w:firstLine="494" w:firstLineChars="200"/>
        <w:contextualSpacing/>
        <w:jc w:val="left"/>
        <w:rPr>
          <w:rFonts w:eastAsia="宋体" w:cs="Times New Roman"/>
          <w:sz w:val="24"/>
        </w:rPr>
      </w:pPr>
    </w:p>
    <w:p>
      <w:pPr>
        <w:pStyle w:val="2"/>
      </w:pPr>
    </w:p>
    <w:p>
      <w:pPr>
        <w:pStyle w:val="2"/>
      </w:pPr>
    </w:p>
    <w:p>
      <w:pPr>
        <w:pStyle w:val="2"/>
      </w:pPr>
    </w:p>
    <w:p>
      <w:pPr>
        <w:pStyle w:val="2"/>
      </w:pPr>
    </w:p>
    <w:p>
      <w:pPr>
        <w:pStyle w:val="2"/>
      </w:pPr>
    </w:p>
    <w:p>
      <w:pPr>
        <w:pStyle w:val="2"/>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339" w:type="dxa"/>
            <w:gridSpan w:val="2"/>
          </w:tcPr>
          <w:p>
            <w:pPr>
              <w:pStyle w:val="2"/>
              <w:tabs>
                <w:tab w:val="left" w:pos="2624"/>
              </w:tabs>
              <w:adjustRightInd w:val="0"/>
              <w:snapToGrid w:val="0"/>
              <w:spacing w:after="0"/>
              <w:contextualSpacing/>
              <w:jc w:val="center"/>
              <w:rPr>
                <w:sz w:val="21"/>
                <w:szCs w:val="21"/>
              </w:rPr>
            </w:pPr>
            <w:bookmarkStart w:id="64" w:name="_Toc7461"/>
            <w:r>
              <w:rPr>
                <w:bCs/>
                <w:sz w:val="21"/>
                <w:szCs w:val="21"/>
              </w:rPr>
              <w:t>事故事件管理制度</w:t>
            </w:r>
            <w:bookmarkEnd w:id="6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3169" w:type="dxa"/>
          </w:tcPr>
          <w:p>
            <w:pPr>
              <w:pStyle w:val="2"/>
              <w:adjustRightInd w:val="0"/>
              <w:snapToGrid w:val="0"/>
              <w:spacing w:after="0"/>
              <w:contextualSpacing/>
              <w:jc w:val="left"/>
              <w:rPr>
                <w:bCs/>
                <w:sz w:val="21"/>
                <w:szCs w:val="21"/>
              </w:rPr>
            </w:pPr>
            <w:r>
              <w:rPr>
                <w:rFonts w:hint="eastAsia"/>
                <w:bCs/>
                <w:sz w:val="21"/>
                <w:szCs w:val="21"/>
              </w:rPr>
              <w:t xml:space="preserve">1 </w:t>
            </w:r>
            <w:r>
              <w:rPr>
                <w:bCs/>
                <w:sz w:val="21"/>
                <w:szCs w:val="21"/>
              </w:rPr>
              <w:t xml:space="preserve">目的 </w:t>
            </w:r>
          </w:p>
          <w:p>
            <w:pPr>
              <w:pStyle w:val="2"/>
              <w:adjustRightInd w:val="0"/>
              <w:snapToGrid w:val="0"/>
              <w:spacing w:after="0"/>
              <w:contextualSpacing/>
              <w:jc w:val="left"/>
              <w:rPr>
                <w:bCs/>
                <w:sz w:val="21"/>
                <w:szCs w:val="21"/>
              </w:rPr>
            </w:pPr>
            <w:r>
              <w:rPr>
                <w:rFonts w:hint="eastAsia"/>
                <w:bCs/>
                <w:sz w:val="21"/>
                <w:szCs w:val="21"/>
              </w:rPr>
              <w:t xml:space="preserve">2 </w:t>
            </w:r>
            <w:r>
              <w:rPr>
                <w:bCs/>
                <w:sz w:val="21"/>
                <w:szCs w:val="21"/>
              </w:rPr>
              <w:t>范围</w:t>
            </w:r>
          </w:p>
          <w:p>
            <w:pPr>
              <w:pStyle w:val="2"/>
              <w:adjustRightInd w:val="0"/>
              <w:snapToGrid w:val="0"/>
              <w:spacing w:after="0"/>
              <w:contextualSpacing/>
              <w:jc w:val="left"/>
              <w:rPr>
                <w:bCs/>
                <w:sz w:val="21"/>
                <w:szCs w:val="21"/>
              </w:rPr>
            </w:pPr>
            <w:r>
              <w:rPr>
                <w:rFonts w:hint="eastAsia"/>
                <w:bCs/>
                <w:sz w:val="21"/>
                <w:szCs w:val="21"/>
              </w:rPr>
              <w:t xml:space="preserve">3 </w:t>
            </w:r>
            <w:r>
              <w:rPr>
                <w:bCs/>
                <w:sz w:val="21"/>
                <w:szCs w:val="21"/>
              </w:rPr>
              <w:t>职责</w:t>
            </w:r>
          </w:p>
          <w:p>
            <w:pPr>
              <w:pStyle w:val="2"/>
              <w:adjustRightInd w:val="0"/>
              <w:snapToGrid w:val="0"/>
              <w:spacing w:after="0"/>
              <w:contextualSpacing/>
              <w:jc w:val="left"/>
              <w:rPr>
                <w:bCs/>
                <w:sz w:val="21"/>
                <w:szCs w:val="21"/>
              </w:rPr>
            </w:pPr>
            <w:r>
              <w:rPr>
                <w:rFonts w:hint="eastAsia"/>
                <w:bCs/>
                <w:sz w:val="21"/>
                <w:szCs w:val="21"/>
              </w:rPr>
              <w:t xml:space="preserve">4 </w:t>
            </w:r>
            <w:r>
              <w:rPr>
                <w:bCs/>
                <w:sz w:val="21"/>
                <w:szCs w:val="21"/>
              </w:rPr>
              <w:t>规程</w:t>
            </w:r>
          </w:p>
          <w:p>
            <w:pPr>
              <w:pStyle w:val="2"/>
              <w:adjustRightInd w:val="0"/>
              <w:snapToGrid w:val="0"/>
              <w:spacing w:after="0"/>
              <w:ind w:firstLine="108" w:firstLineChars="50"/>
              <w:contextualSpacing/>
              <w:jc w:val="left"/>
              <w:rPr>
                <w:sz w:val="21"/>
                <w:szCs w:val="21"/>
              </w:rPr>
            </w:pPr>
            <w:r>
              <w:rPr>
                <w:rFonts w:hint="eastAsia"/>
                <w:sz w:val="21"/>
                <w:szCs w:val="21"/>
              </w:rPr>
              <w:t>4.</w:t>
            </w:r>
            <w:r>
              <w:rPr>
                <w:sz w:val="21"/>
                <w:szCs w:val="21"/>
              </w:rPr>
              <w:t>1</w:t>
            </w:r>
            <w:r>
              <w:rPr>
                <w:rFonts w:hint="eastAsia"/>
                <w:sz w:val="21"/>
                <w:szCs w:val="21"/>
              </w:rPr>
              <w:t xml:space="preserve"> </w:t>
            </w:r>
            <w:r>
              <w:rPr>
                <w:sz w:val="21"/>
                <w:szCs w:val="21"/>
              </w:rPr>
              <w:t>基本原则：</w:t>
            </w:r>
          </w:p>
          <w:p>
            <w:pPr>
              <w:pStyle w:val="2"/>
              <w:adjustRightInd w:val="0"/>
              <w:snapToGrid w:val="0"/>
              <w:spacing w:after="0"/>
              <w:ind w:firstLine="108" w:firstLineChars="50"/>
              <w:contextualSpacing/>
              <w:jc w:val="left"/>
              <w:rPr>
                <w:sz w:val="21"/>
                <w:szCs w:val="21"/>
              </w:rPr>
            </w:pPr>
            <w:r>
              <w:rPr>
                <w:rFonts w:hint="eastAsia"/>
                <w:sz w:val="21"/>
                <w:szCs w:val="21"/>
              </w:rPr>
              <w:t>4.</w:t>
            </w:r>
            <w:r>
              <w:rPr>
                <w:sz w:val="21"/>
                <w:szCs w:val="21"/>
              </w:rPr>
              <w:t>2</w:t>
            </w:r>
            <w:r>
              <w:rPr>
                <w:rFonts w:hint="eastAsia"/>
                <w:sz w:val="21"/>
                <w:szCs w:val="21"/>
              </w:rPr>
              <w:t xml:space="preserve"> </w:t>
            </w:r>
            <w:r>
              <w:rPr>
                <w:sz w:val="21"/>
                <w:szCs w:val="21"/>
              </w:rPr>
              <w:t>事故的分类和分级</w:t>
            </w:r>
          </w:p>
          <w:p>
            <w:pPr>
              <w:pStyle w:val="2"/>
              <w:adjustRightInd w:val="0"/>
              <w:snapToGrid w:val="0"/>
              <w:spacing w:after="0"/>
              <w:ind w:firstLine="217" w:firstLineChars="100"/>
              <w:contextualSpacing/>
              <w:jc w:val="left"/>
              <w:rPr>
                <w:sz w:val="21"/>
                <w:szCs w:val="21"/>
              </w:rPr>
            </w:pPr>
            <w:r>
              <w:rPr>
                <w:rFonts w:hint="eastAsia"/>
                <w:sz w:val="21"/>
                <w:szCs w:val="21"/>
              </w:rPr>
              <w:t>4.</w:t>
            </w:r>
            <w:r>
              <w:rPr>
                <w:sz w:val="21"/>
                <w:szCs w:val="21"/>
              </w:rPr>
              <w:t>2.1事故分类</w:t>
            </w:r>
          </w:p>
          <w:p>
            <w:pPr>
              <w:pStyle w:val="2"/>
              <w:adjustRightInd w:val="0"/>
              <w:snapToGrid w:val="0"/>
              <w:spacing w:after="0"/>
              <w:ind w:firstLine="434" w:firstLineChars="200"/>
              <w:contextualSpacing/>
              <w:jc w:val="left"/>
              <w:rPr>
                <w:sz w:val="21"/>
                <w:szCs w:val="21"/>
              </w:rPr>
            </w:pPr>
            <w:r>
              <w:rPr>
                <w:rFonts w:hint="eastAsia"/>
                <w:sz w:val="21"/>
                <w:szCs w:val="21"/>
              </w:rPr>
              <w:t>4.</w:t>
            </w:r>
            <w:r>
              <w:rPr>
                <w:sz w:val="21"/>
                <w:szCs w:val="21"/>
              </w:rPr>
              <w:t xml:space="preserve">2.1.1生产（工艺）事故： </w:t>
            </w:r>
          </w:p>
          <w:p>
            <w:pPr>
              <w:pStyle w:val="2"/>
              <w:adjustRightInd w:val="0"/>
              <w:snapToGrid w:val="0"/>
              <w:spacing w:after="0"/>
              <w:ind w:firstLine="434" w:firstLineChars="200"/>
              <w:contextualSpacing/>
              <w:jc w:val="left"/>
              <w:rPr>
                <w:sz w:val="21"/>
                <w:szCs w:val="21"/>
              </w:rPr>
            </w:pPr>
            <w:r>
              <w:rPr>
                <w:rFonts w:hint="eastAsia"/>
                <w:sz w:val="21"/>
                <w:szCs w:val="21"/>
              </w:rPr>
              <w:t>4.</w:t>
            </w:r>
            <w:r>
              <w:rPr>
                <w:sz w:val="21"/>
                <w:szCs w:val="21"/>
              </w:rPr>
              <w:t>2.1.2设备事故：</w:t>
            </w:r>
          </w:p>
          <w:p>
            <w:pPr>
              <w:pStyle w:val="2"/>
              <w:adjustRightInd w:val="0"/>
              <w:snapToGrid w:val="0"/>
              <w:spacing w:after="0"/>
              <w:ind w:firstLine="434" w:firstLineChars="200"/>
              <w:contextualSpacing/>
              <w:jc w:val="left"/>
              <w:rPr>
                <w:sz w:val="21"/>
                <w:szCs w:val="21"/>
              </w:rPr>
            </w:pPr>
            <w:r>
              <w:rPr>
                <w:rFonts w:hint="eastAsia"/>
                <w:sz w:val="21"/>
                <w:szCs w:val="21"/>
              </w:rPr>
              <w:t>4.</w:t>
            </w:r>
            <w:r>
              <w:rPr>
                <w:sz w:val="21"/>
                <w:szCs w:val="21"/>
              </w:rPr>
              <w:t>2.1.3质量事故：</w:t>
            </w:r>
          </w:p>
          <w:p>
            <w:pPr>
              <w:pStyle w:val="2"/>
              <w:adjustRightInd w:val="0"/>
              <w:snapToGrid w:val="0"/>
              <w:spacing w:after="0"/>
              <w:ind w:firstLine="434" w:firstLineChars="200"/>
              <w:contextualSpacing/>
              <w:jc w:val="left"/>
              <w:rPr>
                <w:sz w:val="21"/>
                <w:szCs w:val="21"/>
              </w:rPr>
            </w:pPr>
            <w:r>
              <w:rPr>
                <w:rFonts w:hint="eastAsia"/>
                <w:sz w:val="21"/>
                <w:szCs w:val="21"/>
              </w:rPr>
              <w:t>4.</w:t>
            </w:r>
            <w:r>
              <w:rPr>
                <w:sz w:val="21"/>
                <w:szCs w:val="21"/>
              </w:rPr>
              <w:t>2.1.4交通事故：</w:t>
            </w:r>
          </w:p>
          <w:p>
            <w:pPr>
              <w:pStyle w:val="2"/>
              <w:adjustRightInd w:val="0"/>
              <w:snapToGrid w:val="0"/>
              <w:spacing w:after="0"/>
              <w:ind w:firstLine="434" w:firstLineChars="200"/>
              <w:contextualSpacing/>
              <w:jc w:val="left"/>
              <w:rPr>
                <w:sz w:val="21"/>
                <w:szCs w:val="21"/>
              </w:rPr>
            </w:pPr>
          </w:p>
        </w:tc>
        <w:tc>
          <w:tcPr>
            <w:tcW w:w="3170" w:type="dxa"/>
          </w:tcPr>
          <w:p>
            <w:pPr>
              <w:pStyle w:val="2"/>
              <w:adjustRightInd w:val="0"/>
              <w:snapToGrid w:val="0"/>
              <w:spacing w:after="0"/>
              <w:ind w:firstLine="651" w:firstLineChars="300"/>
              <w:contextualSpacing/>
              <w:jc w:val="left"/>
              <w:rPr>
                <w:sz w:val="21"/>
                <w:szCs w:val="21"/>
              </w:rPr>
            </w:pPr>
            <w:r>
              <w:rPr>
                <w:rFonts w:hint="eastAsia"/>
                <w:sz w:val="21"/>
                <w:szCs w:val="21"/>
              </w:rPr>
              <w:t>4.</w:t>
            </w:r>
            <w:r>
              <w:rPr>
                <w:sz w:val="21"/>
                <w:szCs w:val="21"/>
              </w:rPr>
              <w:t>2.1.5火灾事故：</w:t>
            </w:r>
          </w:p>
          <w:p>
            <w:pPr>
              <w:pStyle w:val="2"/>
              <w:adjustRightInd w:val="0"/>
              <w:snapToGrid w:val="0"/>
              <w:spacing w:after="0"/>
              <w:ind w:firstLine="651" w:firstLineChars="300"/>
              <w:contextualSpacing/>
              <w:jc w:val="left"/>
              <w:rPr>
                <w:bCs/>
                <w:sz w:val="21"/>
                <w:szCs w:val="21"/>
              </w:rPr>
            </w:pPr>
            <w:r>
              <w:rPr>
                <w:rFonts w:hint="eastAsia"/>
                <w:sz w:val="21"/>
                <w:szCs w:val="21"/>
              </w:rPr>
              <w:t>4.</w:t>
            </w:r>
            <w:r>
              <w:rPr>
                <w:sz w:val="21"/>
                <w:szCs w:val="21"/>
              </w:rPr>
              <w:t>2.1.6爆炸事故：</w:t>
            </w:r>
          </w:p>
          <w:p>
            <w:pPr>
              <w:pStyle w:val="2"/>
              <w:adjustRightInd w:val="0"/>
              <w:snapToGrid w:val="0"/>
              <w:spacing w:after="0"/>
              <w:ind w:firstLine="651" w:firstLineChars="300"/>
              <w:contextualSpacing/>
              <w:jc w:val="left"/>
              <w:rPr>
                <w:bCs/>
                <w:sz w:val="21"/>
                <w:szCs w:val="21"/>
              </w:rPr>
            </w:pPr>
            <w:r>
              <w:rPr>
                <w:rFonts w:hint="eastAsia"/>
                <w:bCs/>
                <w:sz w:val="21"/>
                <w:szCs w:val="21"/>
              </w:rPr>
              <w:t>4.2.1.7泄漏事故：</w:t>
            </w:r>
          </w:p>
          <w:p>
            <w:pPr>
              <w:pStyle w:val="2"/>
              <w:adjustRightInd w:val="0"/>
              <w:snapToGrid w:val="0"/>
              <w:spacing w:after="0"/>
              <w:ind w:firstLine="651" w:firstLineChars="300"/>
              <w:contextualSpacing/>
              <w:jc w:val="left"/>
              <w:rPr>
                <w:bCs/>
                <w:sz w:val="21"/>
                <w:szCs w:val="21"/>
              </w:rPr>
            </w:pPr>
            <w:r>
              <w:rPr>
                <w:rFonts w:hint="eastAsia"/>
                <w:bCs/>
                <w:sz w:val="21"/>
                <w:szCs w:val="21"/>
              </w:rPr>
              <w:t>4.2.1.8</w:t>
            </w:r>
            <w:r>
              <w:rPr>
                <w:bCs/>
                <w:sz w:val="21"/>
                <w:szCs w:val="21"/>
              </w:rPr>
              <w:t>伤亡事故：</w:t>
            </w:r>
          </w:p>
          <w:p>
            <w:pPr>
              <w:pStyle w:val="2"/>
              <w:adjustRightInd w:val="0"/>
              <w:snapToGrid w:val="0"/>
              <w:spacing w:after="0"/>
              <w:ind w:firstLine="651" w:firstLineChars="300"/>
              <w:contextualSpacing/>
              <w:jc w:val="left"/>
              <w:rPr>
                <w:bCs/>
                <w:sz w:val="21"/>
                <w:szCs w:val="21"/>
              </w:rPr>
            </w:pPr>
            <w:r>
              <w:rPr>
                <w:rFonts w:hint="eastAsia"/>
                <w:bCs/>
                <w:sz w:val="21"/>
                <w:szCs w:val="21"/>
              </w:rPr>
              <w:t>4.2.1.9</w:t>
            </w:r>
            <w:r>
              <w:rPr>
                <w:bCs/>
                <w:sz w:val="21"/>
                <w:szCs w:val="21"/>
              </w:rPr>
              <w:t>破坏事故：</w:t>
            </w:r>
          </w:p>
          <w:p>
            <w:pPr>
              <w:pStyle w:val="2"/>
              <w:adjustRightInd w:val="0"/>
              <w:snapToGrid w:val="0"/>
              <w:spacing w:after="0"/>
              <w:ind w:firstLine="434" w:firstLineChars="200"/>
              <w:contextualSpacing/>
              <w:jc w:val="left"/>
              <w:rPr>
                <w:bCs/>
                <w:sz w:val="21"/>
                <w:szCs w:val="21"/>
              </w:rPr>
            </w:pPr>
            <w:r>
              <w:rPr>
                <w:rFonts w:hint="eastAsia"/>
                <w:bCs/>
                <w:sz w:val="21"/>
                <w:szCs w:val="21"/>
              </w:rPr>
              <w:t>4.2.2</w:t>
            </w:r>
            <w:r>
              <w:rPr>
                <w:bCs/>
                <w:sz w:val="21"/>
                <w:szCs w:val="21"/>
              </w:rPr>
              <w:t>事故分级</w:t>
            </w:r>
          </w:p>
          <w:p>
            <w:pPr>
              <w:pStyle w:val="2"/>
              <w:adjustRightInd w:val="0"/>
              <w:snapToGrid w:val="0"/>
              <w:spacing w:after="0"/>
              <w:ind w:firstLine="434" w:firstLineChars="200"/>
              <w:contextualSpacing/>
              <w:jc w:val="left"/>
              <w:rPr>
                <w:bCs/>
                <w:sz w:val="21"/>
                <w:szCs w:val="21"/>
              </w:rPr>
            </w:pPr>
            <w:r>
              <w:rPr>
                <w:rFonts w:hint="eastAsia"/>
                <w:bCs/>
                <w:sz w:val="21"/>
                <w:szCs w:val="21"/>
              </w:rPr>
              <w:t>4.2.3</w:t>
            </w:r>
            <w:r>
              <w:rPr>
                <w:bCs/>
                <w:sz w:val="21"/>
                <w:szCs w:val="21"/>
              </w:rPr>
              <w:t>分级说明</w:t>
            </w:r>
          </w:p>
          <w:p>
            <w:pPr>
              <w:pStyle w:val="2"/>
              <w:adjustRightInd w:val="0"/>
              <w:snapToGrid w:val="0"/>
              <w:spacing w:after="0"/>
              <w:ind w:firstLine="217" w:firstLineChars="100"/>
              <w:contextualSpacing/>
              <w:jc w:val="left"/>
              <w:rPr>
                <w:bCs/>
                <w:sz w:val="21"/>
                <w:szCs w:val="21"/>
              </w:rPr>
            </w:pPr>
            <w:r>
              <w:rPr>
                <w:rFonts w:hint="eastAsia"/>
                <w:bCs/>
                <w:sz w:val="21"/>
                <w:szCs w:val="21"/>
              </w:rPr>
              <w:t>4.</w:t>
            </w:r>
            <w:r>
              <w:rPr>
                <w:bCs/>
                <w:sz w:val="21"/>
                <w:szCs w:val="21"/>
              </w:rPr>
              <w:t>3</w:t>
            </w:r>
            <w:r>
              <w:rPr>
                <w:rFonts w:hint="eastAsia"/>
                <w:bCs/>
                <w:sz w:val="21"/>
                <w:szCs w:val="21"/>
              </w:rPr>
              <w:t xml:space="preserve"> </w:t>
            </w:r>
            <w:r>
              <w:rPr>
                <w:bCs/>
                <w:sz w:val="21"/>
                <w:szCs w:val="21"/>
              </w:rPr>
              <w:t>事故报告</w:t>
            </w:r>
          </w:p>
          <w:p>
            <w:pPr>
              <w:pStyle w:val="2"/>
              <w:adjustRightInd w:val="0"/>
              <w:snapToGrid w:val="0"/>
              <w:spacing w:after="0"/>
              <w:ind w:firstLine="217" w:firstLineChars="100"/>
              <w:contextualSpacing/>
              <w:jc w:val="left"/>
              <w:rPr>
                <w:bCs/>
                <w:sz w:val="21"/>
                <w:szCs w:val="21"/>
              </w:rPr>
            </w:pPr>
            <w:r>
              <w:rPr>
                <w:rFonts w:hint="eastAsia"/>
                <w:bCs/>
                <w:sz w:val="21"/>
                <w:szCs w:val="21"/>
              </w:rPr>
              <w:t>4.</w:t>
            </w:r>
            <w:r>
              <w:rPr>
                <w:bCs/>
                <w:sz w:val="21"/>
                <w:szCs w:val="21"/>
              </w:rPr>
              <w:t>4</w:t>
            </w:r>
            <w:r>
              <w:rPr>
                <w:rFonts w:hint="eastAsia"/>
                <w:bCs/>
                <w:sz w:val="21"/>
                <w:szCs w:val="21"/>
              </w:rPr>
              <w:t xml:space="preserve"> </w:t>
            </w:r>
            <w:r>
              <w:rPr>
                <w:bCs/>
                <w:sz w:val="21"/>
                <w:szCs w:val="21"/>
              </w:rPr>
              <w:t>事故抢险</w:t>
            </w:r>
          </w:p>
          <w:p>
            <w:pPr>
              <w:pStyle w:val="2"/>
              <w:adjustRightInd w:val="0"/>
              <w:snapToGrid w:val="0"/>
              <w:spacing w:after="0"/>
              <w:ind w:firstLine="217" w:firstLineChars="100"/>
              <w:contextualSpacing/>
              <w:jc w:val="left"/>
              <w:rPr>
                <w:bCs/>
                <w:sz w:val="21"/>
                <w:szCs w:val="21"/>
              </w:rPr>
            </w:pPr>
            <w:r>
              <w:rPr>
                <w:rFonts w:hint="eastAsia"/>
                <w:bCs/>
                <w:sz w:val="21"/>
                <w:szCs w:val="21"/>
              </w:rPr>
              <w:t>4.</w:t>
            </w:r>
            <w:r>
              <w:rPr>
                <w:bCs/>
                <w:sz w:val="21"/>
                <w:szCs w:val="21"/>
              </w:rPr>
              <w:t>5</w:t>
            </w:r>
            <w:r>
              <w:rPr>
                <w:rFonts w:hint="eastAsia"/>
                <w:bCs/>
                <w:sz w:val="21"/>
                <w:szCs w:val="21"/>
              </w:rPr>
              <w:t xml:space="preserve"> </w:t>
            </w:r>
            <w:r>
              <w:rPr>
                <w:bCs/>
                <w:sz w:val="21"/>
                <w:szCs w:val="21"/>
              </w:rPr>
              <w:t>事故调查</w:t>
            </w:r>
          </w:p>
          <w:p>
            <w:pPr>
              <w:pStyle w:val="2"/>
              <w:adjustRightInd w:val="0"/>
              <w:snapToGrid w:val="0"/>
              <w:spacing w:after="0"/>
              <w:ind w:firstLine="217" w:firstLineChars="100"/>
              <w:contextualSpacing/>
              <w:jc w:val="left"/>
              <w:rPr>
                <w:bCs/>
                <w:sz w:val="21"/>
                <w:szCs w:val="21"/>
              </w:rPr>
            </w:pPr>
            <w:r>
              <w:rPr>
                <w:rFonts w:hint="eastAsia"/>
                <w:bCs/>
                <w:sz w:val="21"/>
                <w:szCs w:val="21"/>
              </w:rPr>
              <w:t>4.</w:t>
            </w:r>
            <w:r>
              <w:rPr>
                <w:bCs/>
                <w:sz w:val="21"/>
                <w:szCs w:val="21"/>
              </w:rPr>
              <w:t>6</w:t>
            </w:r>
            <w:r>
              <w:rPr>
                <w:rFonts w:hint="eastAsia"/>
                <w:bCs/>
                <w:sz w:val="21"/>
                <w:szCs w:val="21"/>
              </w:rPr>
              <w:t xml:space="preserve"> </w:t>
            </w:r>
            <w:r>
              <w:rPr>
                <w:bCs/>
                <w:sz w:val="21"/>
                <w:szCs w:val="21"/>
              </w:rPr>
              <w:t>事故处理</w:t>
            </w:r>
          </w:p>
          <w:p>
            <w:pPr>
              <w:pStyle w:val="2"/>
              <w:adjustRightInd w:val="0"/>
              <w:snapToGrid w:val="0"/>
              <w:spacing w:after="0"/>
              <w:ind w:firstLine="217" w:firstLineChars="100"/>
              <w:contextualSpacing/>
              <w:jc w:val="left"/>
              <w:rPr>
                <w:sz w:val="21"/>
                <w:szCs w:val="21"/>
              </w:rPr>
            </w:pPr>
            <w:r>
              <w:rPr>
                <w:rFonts w:hint="eastAsia"/>
                <w:bCs/>
                <w:sz w:val="21"/>
                <w:szCs w:val="21"/>
              </w:rPr>
              <w:t>4.</w:t>
            </w:r>
            <w:r>
              <w:rPr>
                <w:bCs/>
                <w:sz w:val="21"/>
                <w:szCs w:val="21"/>
              </w:rPr>
              <w:t>7</w:t>
            </w:r>
            <w:r>
              <w:rPr>
                <w:rFonts w:hint="eastAsia"/>
                <w:bCs/>
                <w:sz w:val="21"/>
                <w:szCs w:val="21"/>
              </w:rPr>
              <w:t xml:space="preserve"> </w:t>
            </w:r>
            <w:r>
              <w:rPr>
                <w:bCs/>
                <w:sz w:val="21"/>
                <w:szCs w:val="21"/>
              </w:rPr>
              <w:t>责任追究</w:t>
            </w:r>
          </w:p>
        </w:tc>
      </w:tr>
    </w:tbl>
    <w:p>
      <w:pPr>
        <w:adjustRightInd w:val="0"/>
        <w:snapToGrid w:val="0"/>
        <w:spacing w:line="360" w:lineRule="auto"/>
        <w:ind w:firstLine="434" w:firstLineChars="200"/>
        <w:contextualSpacing/>
        <w:jc w:val="center"/>
        <w:rPr>
          <w:rFonts w:eastAsia="宋体" w:cs="Times New Roman"/>
          <w:sz w:val="21"/>
        </w:rPr>
      </w:pPr>
      <w:r>
        <w:rPr>
          <w:rFonts w:hint="eastAsia" w:eastAsia="宋体" w:cs="Times New Roman"/>
          <w:sz w:val="21"/>
        </w:rPr>
        <w:t xml:space="preserve">图11-1 </w:t>
      </w:r>
      <w:r>
        <w:rPr>
          <w:rFonts w:eastAsia="宋体" w:cs="Times New Roman"/>
          <w:sz w:val="21"/>
        </w:rPr>
        <w:t>事故管理制度示例</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2.发生事故后，主要负责人或其代理人应立即到现场组织抢救，采取有效措施，防止事故扩大。</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企业应建立事故报告、调查和处理程序，当事故发生时，执行此程序，程序内容应至少包含以下内容：</w:t>
      </w:r>
    </w:p>
    <w:p>
      <w:pPr>
        <w:pStyle w:val="2"/>
      </w:pPr>
    </w:p>
    <w:p>
      <w:pPr>
        <w:pStyle w:val="2"/>
      </w:pPr>
    </w:p>
    <w:p>
      <w:pPr>
        <w:pStyle w:val="2"/>
      </w:pPr>
    </w:p>
    <w:p>
      <w:pPr>
        <w:pStyle w:val="2"/>
      </w:pPr>
    </w:p>
    <w:p>
      <w:pPr>
        <w:pStyle w:val="2"/>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339" w:type="dxa"/>
            <w:gridSpan w:val="2"/>
          </w:tcPr>
          <w:p>
            <w:pPr>
              <w:adjustRightInd w:val="0"/>
              <w:snapToGrid w:val="0"/>
              <w:contextualSpacing/>
              <w:jc w:val="center"/>
              <w:rPr>
                <w:rFonts w:eastAsia="宋体" w:cs="Times New Roman"/>
                <w:sz w:val="21"/>
                <w:szCs w:val="21"/>
              </w:rPr>
            </w:pPr>
            <w:r>
              <w:rPr>
                <w:rFonts w:hint="eastAsia" w:eastAsia="宋体" w:cs="Times New Roman"/>
                <w:sz w:val="21"/>
                <w:szCs w:val="21"/>
              </w:rPr>
              <w:t>事件报告、调查和处理程序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3169" w:type="dxa"/>
          </w:tcPr>
          <w:p>
            <w:pPr>
              <w:adjustRightInd w:val="0"/>
              <w:snapToGrid w:val="0"/>
              <w:contextualSpacing/>
              <w:jc w:val="left"/>
              <w:rPr>
                <w:rFonts w:eastAsia="宋体" w:cs="Times New Roman"/>
                <w:bCs/>
                <w:sz w:val="21"/>
                <w:szCs w:val="21"/>
              </w:rPr>
            </w:pPr>
            <w:r>
              <w:rPr>
                <w:rFonts w:eastAsia="宋体" w:cs="Times New Roman"/>
                <w:sz w:val="21"/>
                <w:szCs w:val="21"/>
              </w:rPr>
              <w:t>1</w:t>
            </w:r>
            <w:r>
              <w:rPr>
                <w:rFonts w:hint="eastAsia" w:eastAsia="宋体" w:cs="Times New Roman"/>
                <w:sz w:val="21"/>
                <w:szCs w:val="21"/>
              </w:rPr>
              <w:t xml:space="preserve"> </w:t>
            </w:r>
            <w:r>
              <w:rPr>
                <w:rFonts w:eastAsia="宋体" w:cs="Times New Roman"/>
                <w:sz w:val="21"/>
                <w:szCs w:val="21"/>
              </w:rPr>
              <w:t>目的和范围</w:t>
            </w:r>
          </w:p>
          <w:p>
            <w:pPr>
              <w:adjustRightInd w:val="0"/>
              <w:snapToGrid w:val="0"/>
              <w:contextualSpacing/>
              <w:jc w:val="left"/>
              <w:rPr>
                <w:rFonts w:eastAsia="宋体" w:cs="Times New Roman"/>
                <w:bCs/>
                <w:sz w:val="21"/>
                <w:szCs w:val="21"/>
              </w:rPr>
            </w:pPr>
            <w:r>
              <w:rPr>
                <w:rFonts w:eastAsia="宋体" w:cs="Times New Roman"/>
                <w:bCs/>
                <w:sz w:val="21"/>
                <w:szCs w:val="21"/>
              </w:rPr>
              <w:t xml:space="preserve">1.1 目的 </w:t>
            </w:r>
          </w:p>
          <w:p>
            <w:pPr>
              <w:adjustRightInd w:val="0"/>
              <w:snapToGrid w:val="0"/>
              <w:contextualSpacing/>
              <w:jc w:val="left"/>
              <w:rPr>
                <w:rFonts w:eastAsia="宋体" w:cs="Times New Roman"/>
                <w:bCs/>
                <w:sz w:val="21"/>
                <w:szCs w:val="21"/>
                <w:lang w:val="en-GB"/>
              </w:rPr>
            </w:pPr>
            <w:r>
              <w:rPr>
                <w:rFonts w:eastAsia="宋体" w:cs="Times New Roman"/>
                <w:bCs/>
                <w:sz w:val="21"/>
                <w:szCs w:val="21"/>
                <w:lang w:val="en-GB"/>
              </w:rPr>
              <w:t>1.2 适用范围</w:t>
            </w:r>
          </w:p>
          <w:p>
            <w:pPr>
              <w:adjustRightInd w:val="0"/>
              <w:snapToGrid w:val="0"/>
              <w:contextualSpacing/>
              <w:jc w:val="left"/>
              <w:rPr>
                <w:rFonts w:eastAsia="宋体" w:cs="Times New Roman"/>
                <w:bCs/>
                <w:sz w:val="21"/>
                <w:szCs w:val="21"/>
                <w:lang w:val="en-GB"/>
              </w:rPr>
            </w:pPr>
            <w:r>
              <w:rPr>
                <w:rFonts w:eastAsia="宋体" w:cs="Times New Roman"/>
                <w:bCs/>
                <w:sz w:val="21"/>
                <w:szCs w:val="21"/>
                <w:lang w:val="en-GB"/>
              </w:rPr>
              <w:t>2</w:t>
            </w:r>
            <w:r>
              <w:rPr>
                <w:rFonts w:eastAsia="宋体" w:cs="Times New Roman"/>
                <w:bCs/>
                <w:sz w:val="21"/>
                <w:szCs w:val="21"/>
              </w:rPr>
              <w:t xml:space="preserve"> </w:t>
            </w:r>
            <w:r>
              <w:rPr>
                <w:rFonts w:eastAsia="宋体" w:cs="Times New Roman"/>
                <w:bCs/>
                <w:sz w:val="21"/>
                <w:szCs w:val="21"/>
                <w:lang w:val="en-GB"/>
              </w:rPr>
              <w:t>术语和定义</w:t>
            </w:r>
          </w:p>
          <w:p>
            <w:pPr>
              <w:adjustRightInd w:val="0"/>
              <w:snapToGrid w:val="0"/>
              <w:contextualSpacing/>
              <w:jc w:val="left"/>
              <w:rPr>
                <w:rFonts w:eastAsia="宋体" w:cs="Times New Roman"/>
                <w:sz w:val="21"/>
                <w:szCs w:val="21"/>
                <w:lang w:val="en-GB"/>
              </w:rPr>
            </w:pPr>
            <w:r>
              <w:rPr>
                <w:rFonts w:eastAsia="宋体" w:cs="Times New Roman"/>
                <w:sz w:val="21"/>
                <w:szCs w:val="21"/>
                <w:lang w:val="en-GB"/>
              </w:rPr>
              <w:t>3</w:t>
            </w:r>
            <w:r>
              <w:rPr>
                <w:rFonts w:eastAsia="宋体" w:cs="Times New Roman"/>
                <w:sz w:val="21"/>
                <w:szCs w:val="21"/>
              </w:rPr>
              <w:t xml:space="preserve"> </w:t>
            </w:r>
            <w:r>
              <w:rPr>
                <w:rFonts w:eastAsia="宋体" w:cs="Times New Roman"/>
                <w:sz w:val="21"/>
                <w:szCs w:val="21"/>
                <w:lang w:val="en-GB"/>
              </w:rPr>
              <w:t>职责</w:t>
            </w:r>
          </w:p>
          <w:p>
            <w:pPr>
              <w:adjustRightInd w:val="0"/>
              <w:snapToGrid w:val="0"/>
              <w:contextualSpacing/>
              <w:jc w:val="left"/>
              <w:rPr>
                <w:rFonts w:eastAsia="宋体" w:cs="Times New Roman"/>
                <w:sz w:val="21"/>
                <w:szCs w:val="21"/>
              </w:rPr>
            </w:pPr>
            <w:r>
              <w:rPr>
                <w:rFonts w:eastAsia="宋体" w:cs="Times New Roman"/>
                <w:sz w:val="21"/>
                <w:szCs w:val="21"/>
              </w:rPr>
              <w:t>4 工作流程及控制要求</w:t>
            </w:r>
          </w:p>
          <w:p>
            <w:pPr>
              <w:adjustRightInd w:val="0"/>
              <w:snapToGrid w:val="0"/>
              <w:ind w:firstLine="217" w:firstLineChars="100"/>
              <w:contextualSpacing/>
              <w:jc w:val="left"/>
              <w:rPr>
                <w:rFonts w:eastAsia="宋体" w:cs="Times New Roman"/>
                <w:sz w:val="21"/>
                <w:szCs w:val="21"/>
              </w:rPr>
            </w:pPr>
            <w:r>
              <w:rPr>
                <w:rFonts w:eastAsia="宋体" w:cs="Times New Roman"/>
                <w:sz w:val="21"/>
                <w:szCs w:val="21"/>
              </w:rPr>
              <w:t>4.1</w:t>
            </w:r>
            <w:r>
              <w:rPr>
                <w:rFonts w:hint="eastAsia" w:eastAsia="宋体" w:cs="Times New Roman"/>
                <w:sz w:val="21"/>
                <w:szCs w:val="21"/>
              </w:rPr>
              <w:t xml:space="preserve"> </w:t>
            </w:r>
            <w:r>
              <w:rPr>
                <w:rFonts w:eastAsia="宋体" w:cs="Times New Roman"/>
                <w:sz w:val="21"/>
                <w:szCs w:val="21"/>
              </w:rPr>
              <w:t>事故的报告、调查和处理</w:t>
            </w:r>
          </w:p>
          <w:p>
            <w:pPr>
              <w:adjustRightInd w:val="0"/>
              <w:snapToGrid w:val="0"/>
              <w:ind w:firstLine="217" w:firstLineChars="100"/>
              <w:contextualSpacing/>
              <w:jc w:val="left"/>
              <w:rPr>
                <w:rFonts w:eastAsia="宋体" w:cs="Times New Roman"/>
                <w:sz w:val="21"/>
                <w:szCs w:val="21"/>
              </w:rPr>
            </w:pPr>
            <w:r>
              <w:rPr>
                <w:rFonts w:eastAsia="宋体" w:cs="Times New Roman"/>
                <w:sz w:val="21"/>
                <w:szCs w:val="21"/>
              </w:rPr>
              <w:t>4.2未遂事件的报告、调查和处理</w:t>
            </w:r>
          </w:p>
        </w:tc>
        <w:tc>
          <w:tcPr>
            <w:tcW w:w="3170" w:type="dxa"/>
          </w:tcPr>
          <w:p>
            <w:pPr>
              <w:adjustRightInd w:val="0"/>
              <w:snapToGrid w:val="0"/>
              <w:ind w:firstLine="217" w:firstLineChars="100"/>
              <w:contextualSpacing/>
              <w:jc w:val="left"/>
              <w:rPr>
                <w:rFonts w:eastAsia="宋体" w:cs="Times New Roman"/>
                <w:sz w:val="21"/>
                <w:szCs w:val="21"/>
              </w:rPr>
            </w:pPr>
            <w:r>
              <w:rPr>
                <w:rFonts w:eastAsia="宋体" w:cs="Times New Roman"/>
                <w:sz w:val="21"/>
                <w:szCs w:val="21"/>
              </w:rPr>
              <w:t>4.3紧急情况报告、调查和处理</w:t>
            </w:r>
          </w:p>
          <w:p>
            <w:pPr>
              <w:adjustRightInd w:val="0"/>
              <w:snapToGrid w:val="0"/>
              <w:ind w:firstLine="217" w:firstLineChars="100"/>
              <w:contextualSpacing/>
              <w:jc w:val="left"/>
              <w:rPr>
                <w:rFonts w:eastAsia="宋体" w:cs="Times New Roman"/>
                <w:sz w:val="21"/>
                <w:szCs w:val="21"/>
              </w:rPr>
            </w:pPr>
            <w:r>
              <w:rPr>
                <w:rFonts w:eastAsia="宋体" w:cs="Times New Roman"/>
                <w:sz w:val="21"/>
                <w:szCs w:val="21"/>
              </w:rPr>
              <w:t>4.4针对上述事故、未遂事件及紧急情况的报告、调查、分析和记录的有效开展，以便能够确定公司内在的、可能导致或有助于事件发生的职业健康安全缺陷和其他因素，识别公司持续改进的可能性。</w:t>
            </w:r>
          </w:p>
        </w:tc>
      </w:tr>
    </w:tbl>
    <w:p>
      <w:pPr>
        <w:adjustRightInd w:val="0"/>
        <w:snapToGrid w:val="0"/>
        <w:spacing w:line="360" w:lineRule="auto"/>
        <w:ind w:firstLine="434" w:firstLineChars="200"/>
        <w:contextualSpacing/>
        <w:jc w:val="center"/>
        <w:rPr>
          <w:rFonts w:eastAsia="宋体" w:cs="Times New Roman"/>
          <w:sz w:val="21"/>
        </w:rPr>
      </w:pPr>
      <w:r>
        <w:rPr>
          <w:rFonts w:hint="eastAsia" w:eastAsia="宋体" w:cs="Times New Roman"/>
          <w:sz w:val="21"/>
        </w:rPr>
        <w:t>图11-2 事故报告、调查和处理程序</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3.按规定及时向上级单位和有关政府部门报告，并保护事故现场及有关证据。</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事故调查报告内容如下：</w:t>
      </w:r>
    </w:p>
    <w:p>
      <w:pPr>
        <w:pStyle w:val="2"/>
        <w:adjustRightInd w:val="0"/>
        <w:snapToGrid w:val="0"/>
        <w:spacing w:after="0" w:line="360" w:lineRule="auto"/>
        <w:ind w:firstLine="494" w:firstLineChars="200"/>
        <w:contextualSpacing/>
        <w:jc w:val="left"/>
        <w:rPr>
          <w:sz w:val="24"/>
          <w:szCs w:val="24"/>
        </w:rPr>
      </w:pPr>
      <w:r>
        <w:rPr>
          <w:sz w:val="24"/>
          <w:szCs w:val="24"/>
        </w:rPr>
        <w:drawing>
          <wp:inline distT="0" distB="0" distL="0" distR="0">
            <wp:extent cx="3599815" cy="1708785"/>
            <wp:effectExtent l="0" t="0" r="635" b="5715"/>
            <wp:docPr id="31029" name="图片 3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9" name="图片 31029"/>
                    <pic:cNvPicPr>
                      <a:picLocks noChangeAspect="1"/>
                    </pic:cNvPicPr>
                  </pic:nvPicPr>
                  <pic:blipFill>
                    <a:blip r:embed="rId177"/>
                    <a:stretch>
                      <a:fillRect/>
                    </a:stretch>
                  </pic:blipFill>
                  <pic:spPr>
                    <a:xfrm>
                      <a:off x="0" y="0"/>
                      <a:ext cx="3600000" cy="1709419"/>
                    </a:xfrm>
                    <a:prstGeom prst="rect">
                      <a:avLst/>
                    </a:prstGeom>
                  </pic:spPr>
                </pic:pic>
              </a:graphicData>
            </a:graphic>
          </wp:inline>
        </w:drawing>
      </w:r>
    </w:p>
    <w:p>
      <w:pPr>
        <w:pStyle w:val="2"/>
        <w:adjustRightInd w:val="0"/>
        <w:snapToGrid w:val="0"/>
        <w:spacing w:after="0" w:line="360" w:lineRule="auto"/>
        <w:ind w:firstLine="434" w:firstLineChars="200"/>
        <w:contextualSpacing/>
        <w:jc w:val="center"/>
        <w:rPr>
          <w:sz w:val="21"/>
          <w:szCs w:val="24"/>
        </w:rPr>
      </w:pPr>
      <w:r>
        <w:rPr>
          <w:sz w:val="21"/>
          <w:szCs w:val="24"/>
        </w:rPr>
        <w:t>图</w:t>
      </w:r>
      <w:r>
        <w:rPr>
          <w:rFonts w:hint="eastAsia"/>
          <w:sz w:val="21"/>
          <w:szCs w:val="24"/>
        </w:rPr>
        <w:t xml:space="preserve">11-3 </w:t>
      </w:r>
      <w:r>
        <w:rPr>
          <w:sz w:val="21"/>
          <w:szCs w:val="24"/>
        </w:rPr>
        <w:t>事故调查报告内容</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4.对事故进行登记建档管理。</w:t>
      </w:r>
    </w:p>
    <w:p>
      <w:pPr>
        <w:pStyle w:val="2"/>
        <w:adjustRightInd w:val="0"/>
        <w:snapToGrid w:val="0"/>
        <w:spacing w:after="0" w:line="360" w:lineRule="auto"/>
        <w:ind w:firstLine="494" w:firstLineChars="200"/>
        <w:contextualSpacing/>
        <w:jc w:val="left"/>
        <w:rPr>
          <w:sz w:val="24"/>
          <w:szCs w:val="24"/>
        </w:rPr>
      </w:pPr>
      <w:r>
        <w:rPr>
          <w:sz w:val="24"/>
          <w:szCs w:val="24"/>
        </w:rPr>
        <w:t>释义：</w:t>
      </w:r>
    </w:p>
    <w:p>
      <w:pPr>
        <w:pStyle w:val="2"/>
        <w:adjustRightInd w:val="0"/>
        <w:snapToGrid w:val="0"/>
        <w:spacing w:after="0" w:line="360" w:lineRule="auto"/>
        <w:ind w:firstLine="494" w:firstLineChars="200"/>
        <w:contextualSpacing/>
        <w:jc w:val="left"/>
        <w:rPr>
          <w:sz w:val="24"/>
          <w:szCs w:val="24"/>
        </w:rPr>
      </w:pPr>
      <w:r>
        <w:rPr>
          <w:sz w:val="24"/>
          <w:szCs w:val="24"/>
        </w:rPr>
        <w:t>企业建立事故管理台帐，对发生事故按下表内容进行记录。并制作安全生产事故档案卡片。</w:t>
      </w:r>
    </w:p>
    <w:p>
      <w:pPr>
        <w:pStyle w:val="2"/>
        <w:adjustRightInd w:val="0"/>
        <w:snapToGrid w:val="0"/>
        <w:spacing w:after="0" w:line="360" w:lineRule="auto"/>
        <w:contextualSpacing/>
        <w:jc w:val="center"/>
        <w:rPr>
          <w:sz w:val="24"/>
          <w:szCs w:val="24"/>
        </w:rPr>
      </w:pPr>
      <w:r>
        <w:rPr>
          <w:sz w:val="24"/>
          <w:szCs w:val="24"/>
        </w:rPr>
        <w:drawing>
          <wp:inline distT="0" distB="0" distL="0" distR="0">
            <wp:extent cx="3599815" cy="1824990"/>
            <wp:effectExtent l="0" t="0" r="635" b="3810"/>
            <wp:docPr id="7219" name="图片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 name="图片 7219"/>
                    <pic:cNvPicPr>
                      <a:picLocks noChangeAspect="1"/>
                    </pic:cNvPicPr>
                  </pic:nvPicPr>
                  <pic:blipFill>
                    <a:blip r:embed="rId178"/>
                    <a:stretch>
                      <a:fillRect/>
                    </a:stretch>
                  </pic:blipFill>
                  <pic:spPr>
                    <a:xfrm>
                      <a:off x="0" y="0"/>
                      <a:ext cx="3600000" cy="1825000"/>
                    </a:xfrm>
                    <a:prstGeom prst="rect">
                      <a:avLst/>
                    </a:prstGeom>
                  </pic:spPr>
                </pic:pic>
              </a:graphicData>
            </a:graphic>
          </wp:inline>
        </w:drawing>
      </w:r>
    </w:p>
    <w:p>
      <w:pPr>
        <w:pStyle w:val="2"/>
        <w:adjustRightInd w:val="0"/>
        <w:snapToGrid w:val="0"/>
        <w:spacing w:after="0" w:line="360" w:lineRule="auto"/>
        <w:ind w:firstLine="434" w:firstLineChars="200"/>
        <w:contextualSpacing/>
        <w:jc w:val="center"/>
        <w:rPr>
          <w:sz w:val="21"/>
          <w:szCs w:val="24"/>
        </w:rPr>
      </w:pPr>
      <w:r>
        <w:rPr>
          <w:sz w:val="21"/>
          <w:szCs w:val="24"/>
        </w:rPr>
        <w:t>图</w:t>
      </w:r>
      <w:r>
        <w:rPr>
          <w:rFonts w:hint="eastAsia"/>
          <w:sz w:val="21"/>
          <w:szCs w:val="24"/>
        </w:rPr>
        <w:t xml:space="preserve">11-4 </w:t>
      </w:r>
      <w:r>
        <w:rPr>
          <w:sz w:val="21"/>
          <w:szCs w:val="24"/>
        </w:rPr>
        <w:t>事故管理台账</w:t>
      </w:r>
    </w:p>
    <w:p>
      <w:pPr>
        <w:pStyle w:val="2"/>
        <w:adjustRightInd w:val="0"/>
        <w:snapToGrid w:val="0"/>
        <w:spacing w:after="0" w:line="360" w:lineRule="auto"/>
        <w:contextualSpacing/>
        <w:jc w:val="center"/>
        <w:rPr>
          <w:sz w:val="24"/>
          <w:szCs w:val="24"/>
        </w:rPr>
      </w:pPr>
      <w:r>
        <w:rPr>
          <w:sz w:val="24"/>
          <w:szCs w:val="24"/>
        </w:rPr>
        <w:drawing>
          <wp:inline distT="0" distB="0" distL="0" distR="0">
            <wp:extent cx="2123440" cy="2418715"/>
            <wp:effectExtent l="0" t="0" r="0" b="635"/>
            <wp:docPr id="7220" name="图片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 name="图片 7220"/>
                    <pic:cNvPicPr>
                      <a:picLocks noChangeAspect="1"/>
                    </pic:cNvPicPr>
                  </pic:nvPicPr>
                  <pic:blipFill>
                    <a:blip r:embed="rId179"/>
                    <a:stretch>
                      <a:fillRect/>
                    </a:stretch>
                  </pic:blipFill>
                  <pic:spPr>
                    <a:xfrm>
                      <a:off x="0" y="0"/>
                      <a:ext cx="2127086" cy="2423006"/>
                    </a:xfrm>
                    <a:prstGeom prst="rect">
                      <a:avLst/>
                    </a:prstGeom>
                  </pic:spPr>
                </pic:pic>
              </a:graphicData>
            </a:graphic>
          </wp:inline>
        </w:drawing>
      </w:r>
    </w:p>
    <w:p>
      <w:pPr>
        <w:pStyle w:val="2"/>
        <w:adjustRightInd w:val="0"/>
        <w:snapToGrid w:val="0"/>
        <w:spacing w:after="0" w:line="360" w:lineRule="auto"/>
        <w:ind w:firstLine="434" w:firstLineChars="200"/>
        <w:contextualSpacing/>
        <w:jc w:val="center"/>
        <w:rPr>
          <w:sz w:val="21"/>
          <w:szCs w:val="24"/>
        </w:rPr>
      </w:pPr>
      <w:r>
        <w:rPr>
          <w:sz w:val="21"/>
          <w:szCs w:val="24"/>
        </w:rPr>
        <w:t>图</w:t>
      </w:r>
      <w:r>
        <w:rPr>
          <w:rFonts w:hint="eastAsia"/>
          <w:sz w:val="21"/>
          <w:szCs w:val="24"/>
        </w:rPr>
        <w:t xml:space="preserve">11-5 </w:t>
      </w:r>
      <w:r>
        <w:rPr>
          <w:sz w:val="21"/>
          <w:szCs w:val="24"/>
        </w:rPr>
        <w:t>安全生产事故档案卡片</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bookmarkStart w:id="65" w:name="_Toc2527"/>
      <w:bookmarkStart w:id="66" w:name="_Toc26859"/>
      <w:bookmarkStart w:id="67" w:name="_Toc10548"/>
      <w:r>
        <w:rPr>
          <w:rFonts w:ascii="Times New Roman" w:hAnsi="Times New Roman" w:eastAsia="宋体" w:cs="Times New Roman"/>
          <w:bCs w:val="0"/>
          <w:sz w:val="24"/>
          <w:szCs w:val="24"/>
        </w:rPr>
        <w:t>二、事故调查和处理</w:t>
      </w:r>
      <w:bookmarkEnd w:id="65"/>
      <w:bookmarkEnd w:id="66"/>
      <w:bookmarkEnd w:id="67"/>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发生事故后，应按规定成立事故调查组，明确其职责与权限，进行事故调查或配合上级部门的事故调查。事故调查应查明事故发生的时间、经过、原因、人员伤亡情况及直接经济损失等。事故调查组应根据有关证据、资料，分析事故的直接、间接原因和事故责任，提出整改措施和处理建议，编制事故调查报告；</w:t>
      </w:r>
    </w:p>
    <w:p>
      <w:pPr>
        <w:adjustRightInd w:val="0"/>
        <w:snapToGrid w:val="0"/>
        <w:spacing w:line="360" w:lineRule="auto"/>
        <w:ind w:firstLine="494" w:firstLineChars="200"/>
        <w:contextualSpacing/>
        <w:jc w:val="left"/>
      </w:pPr>
      <w:r>
        <w:rPr>
          <w:rFonts w:eastAsia="宋体" w:cs="Times New Roman"/>
          <w:sz w:val="24"/>
        </w:rPr>
        <w:t>1.按照相关法律法规、管理制度的要求，组织事故调查组或配合有关政府行政部门对事故、事件进行调查。</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drawing>
          <wp:anchor distT="0" distB="0" distL="0" distR="0" simplePos="0" relativeHeight="251696128" behindDoc="0" locked="0" layoutInCell="1" allowOverlap="1">
            <wp:simplePos x="0" y="0"/>
            <wp:positionH relativeFrom="column">
              <wp:posOffset>1082040</wp:posOffset>
            </wp:positionH>
            <wp:positionV relativeFrom="paragraph">
              <wp:posOffset>38735</wp:posOffset>
            </wp:positionV>
            <wp:extent cx="1995805" cy="2716530"/>
            <wp:effectExtent l="0" t="0" r="4445" b="7620"/>
            <wp:wrapNone/>
            <wp:docPr id="31030" name="图片 3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0" name="图片 31030"/>
                    <pic:cNvPicPr>
                      <a:picLocks noChangeAspect="1"/>
                    </pic:cNvPicPr>
                  </pic:nvPicPr>
                  <pic:blipFill>
                    <a:blip r:embed="rId180"/>
                    <a:stretch>
                      <a:fillRect/>
                    </a:stretch>
                  </pic:blipFill>
                  <pic:spPr>
                    <a:xfrm>
                      <a:off x="0" y="0"/>
                      <a:ext cx="1995805" cy="2716530"/>
                    </a:xfrm>
                    <a:prstGeom prst="rect">
                      <a:avLst/>
                    </a:prstGeom>
                  </pic:spPr>
                </pic:pic>
              </a:graphicData>
            </a:graphic>
          </wp:anchor>
        </w:drawing>
      </w:r>
      <w:r>
        <w:rPr>
          <w:rFonts w:eastAsia="宋体" w:cs="Times New Roman"/>
          <w:sz w:val="24"/>
        </w:rPr>
        <w:t>释义：</w:t>
      </w:r>
    </w:p>
    <w:p>
      <w:pPr>
        <w:adjustRightInd w:val="0"/>
        <w:snapToGrid w:val="0"/>
        <w:spacing w:line="360" w:lineRule="auto"/>
        <w:contextualSpacing/>
        <w:jc w:val="center"/>
        <w:rPr>
          <w:rFonts w:eastAsia="宋体" w:cs="Times New Roman"/>
          <w:sz w:val="24"/>
        </w:rPr>
      </w:pPr>
    </w:p>
    <w:p>
      <w:pPr>
        <w:pStyle w:val="2"/>
        <w:rPr>
          <w:sz w:val="24"/>
        </w:rPr>
      </w:pPr>
    </w:p>
    <w:p>
      <w:pPr>
        <w:pStyle w:val="2"/>
        <w:rPr>
          <w:sz w:val="24"/>
        </w:rPr>
      </w:pPr>
    </w:p>
    <w:p>
      <w:pPr>
        <w:pStyle w:val="2"/>
        <w:rPr>
          <w:sz w:val="24"/>
        </w:rPr>
      </w:pPr>
    </w:p>
    <w:p>
      <w:pPr>
        <w:pStyle w:val="2"/>
        <w:rPr>
          <w:sz w:val="24"/>
        </w:rPr>
      </w:pPr>
    </w:p>
    <w:p>
      <w:pPr>
        <w:pStyle w:val="2"/>
        <w:rPr>
          <w:sz w:val="24"/>
        </w:rPr>
      </w:pPr>
    </w:p>
    <w:p>
      <w:pPr>
        <w:pStyle w:val="2"/>
        <w:rPr>
          <w:sz w:val="24"/>
        </w:rPr>
      </w:pPr>
    </w:p>
    <w:p>
      <w:pPr>
        <w:adjustRightInd w:val="0"/>
        <w:snapToGrid w:val="0"/>
        <w:spacing w:line="360" w:lineRule="auto"/>
        <w:ind w:firstLine="434" w:firstLineChars="200"/>
        <w:contextualSpacing/>
        <w:jc w:val="center"/>
        <w:rPr>
          <w:rFonts w:eastAsia="宋体" w:cs="Times New Roman"/>
          <w:sz w:val="21"/>
        </w:rPr>
      </w:pPr>
      <w:r>
        <w:rPr>
          <w:rFonts w:eastAsia="宋体" w:cs="Times New Roman"/>
          <w:sz w:val="21"/>
        </w:rPr>
        <w:t>图</w:t>
      </w:r>
      <w:r>
        <w:rPr>
          <w:rFonts w:hint="eastAsia" w:eastAsia="宋体" w:cs="Times New Roman"/>
          <w:sz w:val="21"/>
        </w:rPr>
        <w:t xml:space="preserve">11-6 </w:t>
      </w:r>
      <w:r>
        <w:rPr>
          <w:rFonts w:eastAsia="宋体" w:cs="Times New Roman"/>
          <w:sz w:val="21"/>
        </w:rPr>
        <w:t>事故调查报告</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2.按照《企业职工伤亡事故分类标准》（GB6441）和《企业职工伤亡事故调查分析规则》（GB6442）定期对事故、事件进行统计、分析。</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释义：</w:t>
      </w:r>
    </w:p>
    <w:p>
      <w:pPr>
        <w:adjustRightInd w:val="0"/>
        <w:snapToGrid w:val="0"/>
        <w:spacing w:line="360" w:lineRule="auto"/>
        <w:ind w:firstLine="494" w:firstLineChars="200"/>
        <w:contextualSpacing/>
        <w:rPr>
          <w:rFonts w:eastAsia="宋体" w:cs="Times New Roman"/>
          <w:sz w:val="24"/>
        </w:rPr>
      </w:pPr>
      <w:r>
        <w:rPr>
          <w:rFonts w:eastAsia="宋体" w:cs="Times New Roman"/>
          <w:sz w:val="24"/>
        </w:rPr>
        <w:drawing>
          <wp:inline distT="0" distB="0" distL="0" distR="0">
            <wp:extent cx="3452495" cy="1913890"/>
            <wp:effectExtent l="0" t="0" r="0" b="0"/>
            <wp:docPr id="31031" name="图片 3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1" name="图片 31031"/>
                    <pic:cNvPicPr>
                      <a:picLocks noChangeAspect="1"/>
                    </pic:cNvPicPr>
                  </pic:nvPicPr>
                  <pic:blipFill>
                    <a:blip r:embed="rId181"/>
                    <a:stretch>
                      <a:fillRect/>
                    </a:stretch>
                  </pic:blipFill>
                  <pic:spPr>
                    <a:xfrm>
                      <a:off x="0" y="0"/>
                      <a:ext cx="3450774" cy="1912704"/>
                    </a:xfrm>
                    <a:prstGeom prst="rect">
                      <a:avLst/>
                    </a:prstGeom>
                  </pic:spPr>
                </pic:pic>
              </a:graphicData>
            </a:graphic>
          </wp:inline>
        </w:drawing>
      </w:r>
    </w:p>
    <w:p>
      <w:pPr>
        <w:adjustRightInd w:val="0"/>
        <w:snapToGrid w:val="0"/>
        <w:spacing w:line="360" w:lineRule="auto"/>
        <w:contextualSpacing/>
        <w:jc w:val="center"/>
        <w:rPr>
          <w:rFonts w:eastAsia="宋体" w:cs="Times New Roman"/>
          <w:sz w:val="24"/>
        </w:rPr>
      </w:pPr>
      <w:r>
        <w:rPr>
          <w:rFonts w:hint="eastAsia" w:eastAsia="宋体" w:cs="Times New Roman"/>
          <w:sz w:val="24"/>
        </w:rPr>
        <w:t xml:space="preserve">   </w:t>
      </w:r>
      <w:r>
        <w:rPr>
          <w:rFonts w:eastAsia="宋体" w:cs="Times New Roman"/>
          <w:sz w:val="24"/>
        </w:rPr>
        <w:drawing>
          <wp:inline distT="0" distB="0" distL="0" distR="0">
            <wp:extent cx="3599815" cy="1967865"/>
            <wp:effectExtent l="0" t="0" r="635" b="0"/>
            <wp:docPr id="31032" name="图片 3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2" name="图片 31032"/>
                    <pic:cNvPicPr>
                      <a:picLocks noChangeAspect="1"/>
                    </pic:cNvPicPr>
                  </pic:nvPicPr>
                  <pic:blipFill>
                    <a:blip r:embed="rId182"/>
                    <a:stretch>
                      <a:fillRect/>
                    </a:stretch>
                  </pic:blipFill>
                  <pic:spPr>
                    <a:xfrm>
                      <a:off x="0" y="0"/>
                      <a:ext cx="3600000" cy="1967917"/>
                    </a:xfrm>
                    <a:prstGeom prst="rect">
                      <a:avLst/>
                    </a:prstGeom>
                  </pic:spPr>
                </pic:pic>
              </a:graphicData>
            </a:graphic>
          </wp:inline>
        </w:drawing>
      </w:r>
    </w:p>
    <w:p>
      <w:pPr>
        <w:adjustRightInd w:val="0"/>
        <w:snapToGrid w:val="0"/>
        <w:spacing w:line="360" w:lineRule="auto"/>
        <w:ind w:firstLine="434" w:firstLineChars="200"/>
        <w:contextualSpacing/>
        <w:jc w:val="center"/>
        <w:rPr>
          <w:rFonts w:eastAsia="宋体" w:cs="Times New Roman"/>
          <w:sz w:val="21"/>
        </w:rPr>
      </w:pPr>
      <w:r>
        <w:rPr>
          <w:rFonts w:eastAsia="宋体" w:cs="Times New Roman"/>
          <w:sz w:val="21"/>
        </w:rPr>
        <w:t>图</w:t>
      </w:r>
      <w:r>
        <w:rPr>
          <w:rFonts w:hint="eastAsia" w:eastAsia="宋体" w:cs="Times New Roman"/>
          <w:sz w:val="21"/>
        </w:rPr>
        <w:t xml:space="preserve">11-7 </w:t>
      </w:r>
      <w:r>
        <w:rPr>
          <w:rFonts w:eastAsia="宋体" w:cs="Times New Roman"/>
          <w:sz w:val="21"/>
        </w:rPr>
        <w:t>事故分析表</w:t>
      </w:r>
    </w:p>
    <w:p>
      <w:pPr>
        <w:adjustRightInd w:val="0"/>
        <w:snapToGrid w:val="0"/>
        <w:spacing w:line="360" w:lineRule="auto"/>
        <w:ind w:firstLine="494" w:firstLineChars="200"/>
        <w:contextualSpacing/>
        <w:jc w:val="left"/>
        <w:rPr>
          <w:rFonts w:eastAsia="宋体" w:cs="Times New Roman"/>
          <w:sz w:val="24"/>
        </w:rPr>
      </w:pP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3.建立事故信息共享机制，针对同行业、本地区发生的典型事故，及时组织学习反思、警示教育和自查自纠，有效预防同类事故发生。</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三、材料清单</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1.事故管理制度示例；2.事故报告、调查和处理程序；3.事故调查报告内容；4.事故管理台账；5.安全生产事故档案卡片；6.事故调查报告；7.事故分析表。</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四、引用的法规和标准</w:t>
      </w:r>
    </w:p>
    <w:p>
      <w:pPr>
        <w:adjustRightInd w:val="0"/>
        <w:snapToGrid w:val="0"/>
        <w:spacing w:line="360" w:lineRule="auto"/>
        <w:ind w:firstLine="494" w:firstLineChars="200"/>
        <w:contextualSpacing/>
        <w:jc w:val="left"/>
        <w:rPr>
          <w:rFonts w:eastAsia="宋体" w:cs="Times New Roman"/>
          <w:b/>
          <w:sz w:val="24"/>
        </w:rPr>
      </w:pPr>
      <w:r>
        <w:rPr>
          <w:rFonts w:eastAsia="宋体" w:cs="Times New Roman"/>
          <w:b/>
          <w:sz w:val="24"/>
        </w:rPr>
        <w:t>1、《生产安全事故报告和调查处理条例》（2007年6月1日实施）</w:t>
      </w:r>
    </w:p>
    <w:p>
      <w:pPr>
        <w:pStyle w:val="2"/>
        <w:adjustRightInd w:val="0"/>
        <w:snapToGrid w:val="0"/>
        <w:spacing w:after="0" w:line="360" w:lineRule="auto"/>
        <w:ind w:firstLine="494" w:firstLineChars="200"/>
        <w:contextualSpacing/>
        <w:jc w:val="left"/>
        <w:rPr>
          <w:b/>
          <w:sz w:val="24"/>
          <w:szCs w:val="24"/>
        </w:rPr>
      </w:pPr>
      <w:r>
        <w:rPr>
          <w:b/>
          <w:sz w:val="24"/>
          <w:szCs w:val="24"/>
        </w:rPr>
        <w:t>2、GB 6441-1986《企业职工伤亡事故分类标准》</w:t>
      </w:r>
    </w:p>
    <w:p>
      <w:pPr>
        <w:adjustRightInd w:val="0"/>
        <w:snapToGrid w:val="0"/>
        <w:spacing w:line="360" w:lineRule="auto"/>
        <w:ind w:firstLine="494" w:firstLineChars="200"/>
        <w:contextualSpacing/>
        <w:jc w:val="left"/>
        <w:rPr>
          <w:rFonts w:eastAsia="宋体" w:cs="Times New Roman"/>
          <w:sz w:val="24"/>
        </w:rPr>
      </w:pPr>
    </w:p>
    <w:p>
      <w:pPr>
        <w:pStyle w:val="3"/>
        <w:adjustRightInd w:val="0"/>
        <w:snapToGrid w:val="0"/>
        <w:spacing w:before="0" w:after="0" w:line="360" w:lineRule="auto"/>
        <w:ind w:firstLine="494" w:firstLineChars="200"/>
        <w:contextualSpacing/>
        <w:jc w:val="left"/>
        <w:outlineLvl w:val="9"/>
        <w:rPr>
          <w:rFonts w:eastAsia="宋体" w:cs="Times New Roman"/>
          <w:sz w:val="24"/>
          <w:szCs w:val="24"/>
        </w:rPr>
        <w:sectPr>
          <w:pgSz w:w="8391" w:h="11907"/>
          <w:pgMar w:top="1418" w:right="1134" w:bottom="1077" w:left="1134" w:header="851" w:footer="992" w:gutter="0"/>
          <w:cols w:space="0" w:num="1"/>
          <w:docGrid w:type="linesAndChars" w:linePitch="449" w:charSpace="1547"/>
        </w:sectPr>
      </w:pPr>
      <w:bookmarkStart w:id="68" w:name="_Toc1195"/>
    </w:p>
    <w:p>
      <w:pPr>
        <w:adjustRightInd w:val="0"/>
        <w:snapToGrid w:val="0"/>
        <w:spacing w:line="360" w:lineRule="auto"/>
        <w:contextualSpacing/>
        <w:jc w:val="center"/>
        <w:outlineLvl w:val="0"/>
        <w:rPr>
          <w:rFonts w:eastAsia="黑体" w:cs="Times New Roman"/>
          <w:sz w:val="28"/>
          <w:szCs w:val="28"/>
        </w:rPr>
      </w:pPr>
      <w:bookmarkStart w:id="69" w:name="_Toc12468"/>
      <w:r>
        <w:rPr>
          <w:rFonts w:eastAsia="黑体" w:cs="Times New Roman"/>
          <w:sz w:val="28"/>
          <w:szCs w:val="28"/>
        </w:rPr>
        <w:t>第十二章 绩效评定和持续改进</w:t>
      </w:r>
      <w:bookmarkEnd w:id="68"/>
      <w:bookmarkEnd w:id="69"/>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bookmarkStart w:id="70" w:name="_Toc16098"/>
      <w:bookmarkStart w:id="71" w:name="_Toc30891"/>
      <w:bookmarkStart w:id="72" w:name="_Toc32260"/>
      <w:r>
        <w:rPr>
          <w:rFonts w:ascii="Times New Roman" w:hAnsi="Times New Roman" w:eastAsia="宋体" w:cs="Times New Roman"/>
          <w:bCs w:val="0"/>
          <w:sz w:val="24"/>
          <w:szCs w:val="24"/>
        </w:rPr>
        <w:t>一、绩效评定</w:t>
      </w:r>
      <w:bookmarkEnd w:id="70"/>
      <w:bookmarkEnd w:id="71"/>
      <w:bookmarkEnd w:id="72"/>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应每年至少一次对本单位安全生产标准化的实施情况进行评定，验证各项安全生产制度措施的适宜性、充分性和有效性，检查安全生产工作目标、指标的完成情况。企业主要负责人应对绩效评定工作全面负责。评定工作应形成正式文件，并将结果向所有部门、所属单位和从业人员通报，作为年度考评的重要依据。企业发生死亡事故后应重新进行评定；</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建立安全生产标准化绩效评定的管理制度，明确对安全生产目标完成情况、现场安全状况与标准化规范的符合情况、安全管理实施计划的落实情况的测量评估的方法、组织、周期、过程、报告与分析等要求，测量评估应得出可量化的绩效指标。</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（1）企业自评工作包括：</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1）各部门按照领导小组的工作安排进行自评工作，并将自评结果报领导小组办公室。</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2）领导小组办公室根据各单位的自评情况进行汇总后，安全生产管理情况、职业健康安全、防火、治安保卫、交通安全方面的自评情况由综合部组织核实并督促整改；生产设备设施、作业安全方面的自评情况由生技部核实并监督整改。</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（2）绩效评定的实施</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1）公司分管安全生产领导组织召开绩效评定会议。</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2）每年至少进行一次安全生产标准化的实施情况进行自评，以验证各项安全生产制度措施的适应性、充分性和有效性，检查安全生产目标、指标的完成情况，提出改进意见。</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3）领导小组办公室做工作报告，主要内容包括：安全生产目标以及各单位分解的安全目标完成情况；生产现场安全状况、隐患及整改情况与安全标准化的要求存在的差距等。</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4）评价报告以正式文件下发，将结果向各单位进行通报，并将评价结果作为年度绩效考核的重要依据。</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5）安全生产标准化评定结果要明确下列事项：</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a.系统运行效果。</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b.出现的问题和缺陷，所采取的改进措施。</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c.统计技术、信息技术等在系统中的使用情况和效果。</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d.系统中各种资源的使用效果。</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e.绩效监控系统的适宜性以及结果的准确性。</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f.与相关方的关系。</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6）各单位报告标准化实施的绩效，规章制度的贯彻，隐患及整改情况，并提出改进、变更、纠正预防建议。</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7）会议做好记录、备案。</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（3）安全生产标准化绩效评定管理制度应至少包含以下内容：</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339" w:type="dxa"/>
            <w:gridSpan w:val="2"/>
          </w:tcPr>
          <w:p>
            <w:pPr>
              <w:pStyle w:val="2"/>
              <w:spacing w:after="0"/>
              <w:rPr>
                <w:sz w:val="21"/>
                <w:szCs w:val="21"/>
              </w:rPr>
            </w:pPr>
            <w:r>
              <w:rPr>
                <w:rFonts w:hint="eastAsia"/>
                <w:b/>
                <w:bCs/>
                <w:sz w:val="21"/>
                <w:szCs w:val="21"/>
              </w:rPr>
              <w:t>安全生产标准化绩效评定管理制度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3169" w:type="dxa"/>
          </w:tcPr>
          <w:p>
            <w:pPr>
              <w:pStyle w:val="2"/>
              <w:spacing w:after="0"/>
              <w:rPr>
                <w:sz w:val="21"/>
                <w:szCs w:val="21"/>
              </w:rPr>
            </w:pPr>
            <w:r>
              <w:rPr>
                <w:rFonts w:hint="eastAsia"/>
                <w:sz w:val="21"/>
                <w:szCs w:val="21"/>
              </w:rPr>
              <w:t xml:space="preserve">1 </w:t>
            </w:r>
            <w:r>
              <w:rPr>
                <w:sz w:val="21"/>
                <w:szCs w:val="21"/>
              </w:rPr>
              <w:t>总则</w:t>
            </w:r>
          </w:p>
          <w:p>
            <w:pPr>
              <w:pStyle w:val="2"/>
              <w:spacing w:after="0"/>
              <w:rPr>
                <w:sz w:val="21"/>
                <w:szCs w:val="21"/>
              </w:rPr>
            </w:pPr>
            <w:r>
              <w:rPr>
                <w:rFonts w:hint="eastAsia"/>
                <w:sz w:val="21"/>
                <w:szCs w:val="21"/>
              </w:rPr>
              <w:t xml:space="preserve">2 </w:t>
            </w:r>
            <w:r>
              <w:rPr>
                <w:sz w:val="21"/>
                <w:szCs w:val="21"/>
              </w:rPr>
              <w:t>安全生产标准化组织机构及职责</w:t>
            </w:r>
          </w:p>
          <w:p>
            <w:pPr>
              <w:pStyle w:val="2"/>
              <w:spacing w:after="0"/>
              <w:rPr>
                <w:sz w:val="21"/>
                <w:szCs w:val="21"/>
              </w:rPr>
            </w:pPr>
            <w:r>
              <w:rPr>
                <w:rFonts w:hint="eastAsia"/>
                <w:sz w:val="21"/>
                <w:szCs w:val="21"/>
              </w:rPr>
              <w:t xml:space="preserve">3 </w:t>
            </w:r>
            <w:r>
              <w:rPr>
                <w:sz w:val="21"/>
                <w:szCs w:val="21"/>
              </w:rPr>
              <w:t>各部门职责</w:t>
            </w:r>
          </w:p>
          <w:p>
            <w:pPr>
              <w:pStyle w:val="2"/>
              <w:spacing w:after="0"/>
              <w:rPr>
                <w:sz w:val="21"/>
                <w:szCs w:val="21"/>
              </w:rPr>
            </w:pPr>
            <w:r>
              <w:rPr>
                <w:rFonts w:hint="eastAsia"/>
                <w:sz w:val="21"/>
                <w:szCs w:val="21"/>
              </w:rPr>
              <w:t xml:space="preserve">4 </w:t>
            </w:r>
            <w:r>
              <w:rPr>
                <w:sz w:val="21"/>
                <w:szCs w:val="21"/>
              </w:rPr>
              <w:t>程序</w:t>
            </w:r>
          </w:p>
          <w:p>
            <w:pPr>
              <w:pStyle w:val="2"/>
              <w:spacing w:after="0"/>
              <w:ind w:firstLine="108" w:firstLineChars="50"/>
              <w:rPr>
                <w:sz w:val="21"/>
                <w:szCs w:val="21"/>
              </w:rPr>
            </w:pPr>
            <w:r>
              <w:rPr>
                <w:rFonts w:hint="eastAsia"/>
                <w:sz w:val="21"/>
                <w:szCs w:val="21"/>
              </w:rPr>
              <w:t xml:space="preserve">4.1 </w:t>
            </w:r>
            <w:r>
              <w:rPr>
                <w:sz w:val="21"/>
                <w:szCs w:val="21"/>
              </w:rPr>
              <w:t>自评工作</w:t>
            </w:r>
          </w:p>
          <w:p>
            <w:pPr>
              <w:pStyle w:val="2"/>
              <w:spacing w:after="0"/>
              <w:rPr>
                <w:sz w:val="21"/>
                <w:szCs w:val="21"/>
              </w:rPr>
            </w:pPr>
            <w:r>
              <w:rPr>
                <w:rFonts w:hint="eastAsia"/>
                <w:sz w:val="21"/>
                <w:szCs w:val="21"/>
              </w:rPr>
              <w:t>4.</w:t>
            </w:r>
            <w:r>
              <w:rPr>
                <w:sz w:val="21"/>
                <w:szCs w:val="21"/>
              </w:rPr>
              <w:t>2</w:t>
            </w:r>
            <w:r>
              <w:rPr>
                <w:rFonts w:hint="eastAsia"/>
                <w:sz w:val="21"/>
                <w:szCs w:val="21"/>
              </w:rPr>
              <w:t xml:space="preserve"> </w:t>
            </w:r>
            <w:r>
              <w:rPr>
                <w:sz w:val="21"/>
                <w:szCs w:val="21"/>
              </w:rPr>
              <w:t>绩效评定的实施</w:t>
            </w:r>
          </w:p>
          <w:p>
            <w:pPr>
              <w:pStyle w:val="2"/>
              <w:spacing w:after="0"/>
              <w:rPr>
                <w:sz w:val="21"/>
                <w:szCs w:val="21"/>
              </w:rPr>
            </w:pPr>
            <w:r>
              <w:rPr>
                <w:rFonts w:hint="eastAsia"/>
                <w:sz w:val="21"/>
                <w:szCs w:val="21"/>
              </w:rPr>
              <w:t>4.</w:t>
            </w:r>
            <w:r>
              <w:rPr>
                <w:sz w:val="21"/>
                <w:szCs w:val="21"/>
              </w:rPr>
              <w:t>3</w:t>
            </w:r>
            <w:r>
              <w:rPr>
                <w:rFonts w:hint="eastAsia"/>
                <w:sz w:val="21"/>
                <w:szCs w:val="21"/>
              </w:rPr>
              <w:t xml:space="preserve"> </w:t>
            </w:r>
            <w:r>
              <w:rPr>
                <w:sz w:val="21"/>
                <w:szCs w:val="21"/>
              </w:rPr>
              <w:t>通过绩效评定，就一下几方面找出存在的问题</w:t>
            </w:r>
          </w:p>
        </w:tc>
        <w:tc>
          <w:tcPr>
            <w:tcW w:w="3170" w:type="dxa"/>
          </w:tcPr>
          <w:p>
            <w:pPr>
              <w:pStyle w:val="2"/>
              <w:spacing w:after="0"/>
              <w:rPr>
                <w:sz w:val="21"/>
                <w:szCs w:val="21"/>
              </w:rPr>
            </w:pPr>
            <w:r>
              <w:rPr>
                <w:rFonts w:hint="eastAsia"/>
                <w:sz w:val="21"/>
                <w:szCs w:val="21"/>
              </w:rPr>
              <w:t>4.</w:t>
            </w:r>
            <w:r>
              <w:rPr>
                <w:sz w:val="21"/>
                <w:szCs w:val="21"/>
              </w:rPr>
              <w:t>4绩效评定结果考核。根据《安全生产奖惩和责任追究制度》及公司绩效管理办法，按评定结果，对各部门标准化工作纳入到年终绩效考评中。</w:t>
            </w:r>
          </w:p>
          <w:p>
            <w:pPr>
              <w:pStyle w:val="2"/>
              <w:spacing w:after="0"/>
              <w:rPr>
                <w:sz w:val="21"/>
                <w:szCs w:val="21"/>
              </w:rPr>
            </w:pPr>
            <w:r>
              <w:rPr>
                <w:rFonts w:hint="eastAsia"/>
                <w:sz w:val="21"/>
                <w:szCs w:val="21"/>
              </w:rPr>
              <w:t>4.</w:t>
            </w:r>
            <w:r>
              <w:rPr>
                <w:sz w:val="21"/>
                <w:szCs w:val="21"/>
              </w:rPr>
              <w:t>5</w:t>
            </w:r>
            <w:r>
              <w:rPr>
                <w:rFonts w:hint="eastAsia"/>
                <w:sz w:val="21"/>
                <w:szCs w:val="21"/>
              </w:rPr>
              <w:t xml:space="preserve"> </w:t>
            </w:r>
            <w:r>
              <w:rPr>
                <w:sz w:val="21"/>
                <w:szCs w:val="21"/>
              </w:rPr>
              <w:t>本制度由综合部负责解释，自发布之日起执行。</w:t>
            </w:r>
          </w:p>
        </w:tc>
      </w:tr>
    </w:tbl>
    <w:p>
      <w:pPr>
        <w:adjustRightInd w:val="0"/>
        <w:snapToGrid w:val="0"/>
        <w:spacing w:line="360" w:lineRule="auto"/>
        <w:ind w:firstLine="434" w:firstLineChars="200"/>
        <w:contextualSpacing/>
        <w:jc w:val="left"/>
        <w:rPr>
          <w:rFonts w:eastAsia="宋体" w:cs="Times New Roman"/>
          <w:sz w:val="21"/>
        </w:rPr>
      </w:pPr>
      <w:r>
        <w:rPr>
          <w:rFonts w:eastAsia="宋体" w:cs="Times New Roman"/>
          <w:sz w:val="21"/>
        </w:rPr>
        <w:t>图</w:t>
      </w:r>
      <w:r>
        <w:rPr>
          <w:rFonts w:hint="eastAsia" w:eastAsia="宋体" w:cs="Times New Roman"/>
          <w:sz w:val="21"/>
        </w:rPr>
        <w:t xml:space="preserve">12-1 </w:t>
      </w:r>
      <w:r>
        <w:rPr>
          <w:rFonts w:eastAsia="宋体" w:cs="Times New Roman"/>
          <w:sz w:val="21"/>
        </w:rPr>
        <w:t>安全生产标准化绩效评定的管理制度范本</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通过评估与分析，发现安全管理过程中的责任履行、系统运行、检查监控、隐患整改、考评考核等方面存在的问题，由安全生产委员会或安全生产领导机构讨论提出纠正、预防的管理方案，并纳入下一周期的安全工作实施计划中。</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安全生产纠正和预防措施管理方案应至少包含以下内容：</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339" w:type="dxa"/>
            <w:gridSpan w:val="2"/>
          </w:tcPr>
          <w:p>
            <w:pPr>
              <w:adjustRightInd w:val="0"/>
              <w:snapToGrid w:val="0"/>
              <w:contextualSpacing/>
              <w:jc w:val="center"/>
              <w:rPr>
                <w:rFonts w:eastAsia="宋体" w:cs="Times New Roman"/>
                <w:b/>
                <w:sz w:val="21"/>
                <w:szCs w:val="21"/>
              </w:rPr>
            </w:pPr>
            <w:r>
              <w:rPr>
                <w:rFonts w:eastAsia="宋体" w:cs="Times New Roman"/>
                <w:b/>
                <w:sz w:val="21"/>
                <w:szCs w:val="21"/>
              </w:rPr>
              <w:t>安全生产纠正和预防措施管理方案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3169" w:type="dxa"/>
          </w:tcPr>
          <w:p>
            <w:pPr>
              <w:adjustRightInd w:val="0"/>
              <w:snapToGrid w:val="0"/>
              <w:contextualSpacing/>
              <w:jc w:val="left"/>
              <w:rPr>
                <w:rFonts w:eastAsia="宋体" w:cs="Times New Roman"/>
                <w:sz w:val="21"/>
                <w:szCs w:val="21"/>
              </w:rPr>
            </w:pPr>
            <w:r>
              <w:rPr>
                <w:rFonts w:eastAsia="宋体" w:cs="Times New Roman"/>
                <w:sz w:val="21"/>
                <w:szCs w:val="21"/>
              </w:rPr>
              <w:t>1</w:t>
            </w:r>
            <w:r>
              <w:rPr>
                <w:rFonts w:hint="eastAsia" w:eastAsia="宋体" w:cs="Times New Roman"/>
                <w:sz w:val="21"/>
                <w:szCs w:val="21"/>
              </w:rPr>
              <w:t xml:space="preserve"> </w:t>
            </w:r>
            <w:r>
              <w:rPr>
                <w:rFonts w:eastAsia="宋体" w:cs="Times New Roman"/>
                <w:sz w:val="21"/>
                <w:szCs w:val="21"/>
              </w:rPr>
              <w:t>目的</w:t>
            </w:r>
            <w:r>
              <w:rPr>
                <w:rFonts w:eastAsia="宋体" w:cs="Times New Roman"/>
                <w:sz w:val="21"/>
                <w:szCs w:val="21"/>
              </w:rPr>
              <w:cr/>
            </w:r>
            <w:r>
              <w:rPr>
                <w:rFonts w:eastAsia="宋体" w:cs="Times New Roman"/>
                <w:sz w:val="21"/>
                <w:szCs w:val="21"/>
              </w:rPr>
              <w:t>2</w:t>
            </w:r>
            <w:r>
              <w:rPr>
                <w:rFonts w:hint="eastAsia" w:eastAsia="宋体" w:cs="Times New Roman"/>
                <w:sz w:val="21"/>
                <w:szCs w:val="21"/>
              </w:rPr>
              <w:t xml:space="preserve"> </w:t>
            </w:r>
            <w:r>
              <w:rPr>
                <w:rFonts w:eastAsia="宋体" w:cs="Times New Roman"/>
                <w:sz w:val="21"/>
                <w:szCs w:val="21"/>
              </w:rPr>
              <w:t>范围</w:t>
            </w:r>
            <w:r>
              <w:rPr>
                <w:rFonts w:eastAsia="宋体" w:cs="Times New Roman"/>
                <w:sz w:val="21"/>
                <w:szCs w:val="21"/>
              </w:rPr>
              <w:cr/>
            </w:r>
            <w:r>
              <w:rPr>
                <w:rFonts w:eastAsia="宋体" w:cs="Times New Roman"/>
                <w:sz w:val="21"/>
                <w:szCs w:val="21"/>
              </w:rPr>
              <w:t>3</w:t>
            </w:r>
            <w:r>
              <w:rPr>
                <w:rFonts w:hint="eastAsia" w:eastAsia="宋体" w:cs="Times New Roman"/>
                <w:sz w:val="21"/>
                <w:szCs w:val="21"/>
              </w:rPr>
              <w:t xml:space="preserve"> </w:t>
            </w:r>
            <w:r>
              <w:rPr>
                <w:rFonts w:eastAsia="宋体" w:cs="Times New Roman"/>
                <w:sz w:val="21"/>
                <w:szCs w:val="21"/>
              </w:rPr>
              <w:t>职责</w:t>
            </w:r>
            <w:r>
              <w:rPr>
                <w:rFonts w:eastAsia="宋体" w:cs="Times New Roman"/>
                <w:sz w:val="21"/>
                <w:szCs w:val="21"/>
              </w:rPr>
              <w:cr/>
            </w:r>
            <w:r>
              <w:rPr>
                <w:rFonts w:hint="eastAsia" w:eastAsia="宋体" w:cs="Times New Roman"/>
                <w:sz w:val="21"/>
                <w:szCs w:val="21"/>
              </w:rPr>
              <w:t xml:space="preserve"> </w:t>
            </w:r>
            <w:r>
              <w:rPr>
                <w:rFonts w:eastAsia="宋体" w:cs="Times New Roman"/>
                <w:sz w:val="21"/>
                <w:szCs w:val="21"/>
              </w:rPr>
              <w:t>3.1安全管理部</w:t>
            </w:r>
            <w:r>
              <w:rPr>
                <w:rFonts w:eastAsia="宋体" w:cs="Times New Roman"/>
                <w:sz w:val="21"/>
                <w:szCs w:val="21"/>
              </w:rPr>
              <w:cr/>
            </w:r>
            <w:r>
              <w:rPr>
                <w:rFonts w:hint="eastAsia" w:eastAsia="宋体" w:cs="Times New Roman"/>
                <w:sz w:val="21"/>
                <w:szCs w:val="21"/>
              </w:rPr>
              <w:t xml:space="preserve"> </w:t>
            </w:r>
            <w:r>
              <w:rPr>
                <w:rFonts w:eastAsia="宋体" w:cs="Times New Roman"/>
                <w:sz w:val="21"/>
                <w:szCs w:val="21"/>
              </w:rPr>
              <w:t>3.2各部门</w:t>
            </w:r>
            <w:r>
              <w:rPr>
                <w:rFonts w:eastAsia="宋体" w:cs="Times New Roman"/>
                <w:sz w:val="21"/>
                <w:szCs w:val="21"/>
              </w:rPr>
              <w:cr/>
            </w:r>
            <w:r>
              <w:rPr>
                <w:rFonts w:eastAsia="宋体" w:cs="Times New Roman"/>
                <w:sz w:val="21"/>
                <w:szCs w:val="21"/>
              </w:rPr>
              <w:t>4</w:t>
            </w:r>
            <w:r>
              <w:rPr>
                <w:rFonts w:hint="eastAsia" w:eastAsia="宋体" w:cs="Times New Roman"/>
                <w:sz w:val="21"/>
                <w:szCs w:val="21"/>
              </w:rPr>
              <w:t xml:space="preserve"> </w:t>
            </w:r>
            <w:r>
              <w:rPr>
                <w:rFonts w:eastAsia="宋体" w:cs="Times New Roman"/>
                <w:sz w:val="21"/>
                <w:szCs w:val="21"/>
              </w:rPr>
              <w:t>工作程序</w:t>
            </w:r>
            <w:r>
              <w:rPr>
                <w:rFonts w:eastAsia="宋体" w:cs="Times New Roman"/>
                <w:sz w:val="21"/>
                <w:szCs w:val="21"/>
              </w:rPr>
              <w:cr/>
            </w:r>
            <w:r>
              <w:rPr>
                <w:rFonts w:hint="eastAsia" w:eastAsia="宋体" w:cs="Times New Roman"/>
                <w:sz w:val="21"/>
                <w:szCs w:val="21"/>
              </w:rPr>
              <w:t xml:space="preserve"> </w:t>
            </w:r>
            <w:r>
              <w:rPr>
                <w:rFonts w:eastAsia="宋体" w:cs="Times New Roman"/>
                <w:sz w:val="21"/>
                <w:szCs w:val="21"/>
              </w:rPr>
              <w:t>4.1</w:t>
            </w:r>
            <w:r>
              <w:rPr>
                <w:rFonts w:hint="eastAsia" w:eastAsia="宋体" w:cs="Times New Roman"/>
                <w:sz w:val="21"/>
                <w:szCs w:val="21"/>
              </w:rPr>
              <w:t xml:space="preserve"> </w:t>
            </w:r>
            <w:r>
              <w:rPr>
                <w:rFonts w:eastAsia="宋体" w:cs="Times New Roman"/>
                <w:sz w:val="21"/>
                <w:szCs w:val="21"/>
              </w:rPr>
              <w:t>纠正措施的确定</w:t>
            </w:r>
          </w:p>
          <w:p>
            <w:pPr>
              <w:adjustRightInd w:val="0"/>
              <w:snapToGrid w:val="0"/>
              <w:ind w:firstLine="217" w:firstLineChars="100"/>
              <w:contextualSpacing/>
              <w:jc w:val="left"/>
              <w:rPr>
                <w:rFonts w:eastAsia="宋体" w:cs="Times New Roman"/>
                <w:sz w:val="21"/>
                <w:szCs w:val="21"/>
              </w:rPr>
            </w:pPr>
            <w:r>
              <w:rPr>
                <w:rFonts w:eastAsia="宋体" w:cs="Times New Roman"/>
                <w:sz w:val="21"/>
                <w:szCs w:val="21"/>
              </w:rPr>
              <w:t>4.2</w:t>
            </w:r>
            <w:r>
              <w:rPr>
                <w:rFonts w:hint="eastAsia" w:eastAsia="宋体" w:cs="Times New Roman"/>
                <w:sz w:val="21"/>
                <w:szCs w:val="21"/>
              </w:rPr>
              <w:t xml:space="preserve"> </w:t>
            </w:r>
            <w:r>
              <w:rPr>
                <w:rFonts w:eastAsia="宋体" w:cs="Times New Roman"/>
                <w:sz w:val="21"/>
                <w:szCs w:val="21"/>
              </w:rPr>
              <w:t>预防措施的确定</w:t>
            </w:r>
          </w:p>
        </w:tc>
        <w:tc>
          <w:tcPr>
            <w:tcW w:w="3170" w:type="dxa"/>
          </w:tcPr>
          <w:p>
            <w:pPr>
              <w:adjustRightInd w:val="0"/>
              <w:snapToGrid w:val="0"/>
              <w:ind w:firstLine="217" w:firstLineChars="100"/>
              <w:contextualSpacing/>
              <w:jc w:val="left"/>
              <w:rPr>
                <w:rFonts w:eastAsia="宋体" w:cs="Times New Roman"/>
                <w:sz w:val="21"/>
                <w:szCs w:val="21"/>
              </w:rPr>
            </w:pPr>
            <w:r>
              <w:rPr>
                <w:rFonts w:eastAsia="宋体" w:cs="Times New Roman"/>
                <w:sz w:val="21"/>
                <w:szCs w:val="21"/>
              </w:rPr>
              <w:t>4.3</w:t>
            </w:r>
            <w:r>
              <w:rPr>
                <w:rFonts w:hint="eastAsia" w:eastAsia="宋体" w:cs="Times New Roman"/>
                <w:sz w:val="21"/>
                <w:szCs w:val="21"/>
              </w:rPr>
              <w:t xml:space="preserve"> </w:t>
            </w:r>
            <w:r>
              <w:rPr>
                <w:rFonts w:eastAsia="宋体" w:cs="Times New Roman"/>
                <w:sz w:val="21"/>
                <w:szCs w:val="21"/>
              </w:rPr>
              <w:t>实施纠正和预防措施的一般步骤</w:t>
            </w:r>
            <w:r>
              <w:rPr>
                <w:rFonts w:eastAsia="宋体" w:cs="Times New Roman"/>
                <w:sz w:val="21"/>
                <w:szCs w:val="21"/>
              </w:rPr>
              <w:cr/>
            </w:r>
            <w:r>
              <w:rPr>
                <w:rFonts w:hint="eastAsia" w:eastAsia="宋体" w:cs="Times New Roman"/>
                <w:sz w:val="21"/>
                <w:szCs w:val="21"/>
              </w:rPr>
              <w:t xml:space="preserve"> </w:t>
            </w:r>
            <w:r>
              <w:rPr>
                <w:rFonts w:eastAsia="宋体" w:cs="Times New Roman"/>
                <w:sz w:val="21"/>
                <w:szCs w:val="21"/>
              </w:rPr>
              <w:t>4.4</w:t>
            </w:r>
            <w:r>
              <w:rPr>
                <w:rFonts w:hint="eastAsia" w:eastAsia="宋体" w:cs="Times New Roman"/>
                <w:sz w:val="21"/>
                <w:szCs w:val="21"/>
              </w:rPr>
              <w:t xml:space="preserve"> </w:t>
            </w:r>
            <w:r>
              <w:rPr>
                <w:rFonts w:eastAsia="宋体" w:cs="Times New Roman"/>
                <w:sz w:val="21"/>
                <w:szCs w:val="21"/>
              </w:rPr>
              <w:t>历次纠正和预防措施</w:t>
            </w:r>
            <w:r>
              <w:rPr>
                <w:rFonts w:eastAsia="宋体" w:cs="Times New Roman"/>
                <w:sz w:val="21"/>
                <w:szCs w:val="21"/>
              </w:rPr>
              <w:cr/>
            </w:r>
            <w:r>
              <w:rPr>
                <w:rFonts w:hint="eastAsia" w:eastAsia="宋体" w:cs="Times New Roman"/>
                <w:sz w:val="21"/>
                <w:szCs w:val="21"/>
              </w:rPr>
              <w:t xml:space="preserve"> </w:t>
            </w:r>
            <w:r>
              <w:rPr>
                <w:rFonts w:eastAsia="宋体" w:cs="Times New Roman"/>
                <w:sz w:val="21"/>
                <w:szCs w:val="21"/>
              </w:rPr>
              <w:t>4.5</w:t>
            </w:r>
            <w:r>
              <w:rPr>
                <w:rFonts w:hint="eastAsia" w:eastAsia="宋体" w:cs="Times New Roman"/>
                <w:sz w:val="21"/>
                <w:szCs w:val="21"/>
              </w:rPr>
              <w:t xml:space="preserve"> </w:t>
            </w:r>
            <w:r>
              <w:rPr>
                <w:rFonts w:eastAsia="宋体" w:cs="Times New Roman"/>
                <w:sz w:val="21"/>
                <w:szCs w:val="21"/>
              </w:rPr>
              <w:t>纠正和预防措施所形成的安全记录按文件和档案管理制度执行。</w:t>
            </w:r>
            <w:r>
              <w:rPr>
                <w:rFonts w:eastAsia="宋体" w:cs="Times New Roman"/>
                <w:sz w:val="21"/>
                <w:szCs w:val="21"/>
              </w:rPr>
              <w:cr/>
            </w:r>
            <w:r>
              <w:rPr>
                <w:rFonts w:eastAsia="宋体" w:cs="Times New Roman"/>
                <w:sz w:val="21"/>
                <w:szCs w:val="21"/>
              </w:rPr>
              <w:t>5</w:t>
            </w:r>
            <w:r>
              <w:rPr>
                <w:rFonts w:hint="eastAsia" w:eastAsia="宋体" w:cs="Times New Roman"/>
                <w:sz w:val="21"/>
                <w:szCs w:val="21"/>
              </w:rPr>
              <w:t xml:space="preserve"> </w:t>
            </w:r>
            <w:r>
              <w:rPr>
                <w:rFonts w:eastAsia="宋体" w:cs="Times New Roman"/>
                <w:sz w:val="21"/>
                <w:szCs w:val="21"/>
              </w:rPr>
              <w:t>本方案自下发之日起执行。</w:t>
            </w:r>
          </w:p>
          <w:p>
            <w:pPr>
              <w:adjustRightInd w:val="0"/>
              <w:snapToGrid w:val="0"/>
              <w:contextualSpacing/>
              <w:jc w:val="left"/>
              <w:rPr>
                <w:rFonts w:eastAsia="宋体" w:cs="Times New Roman"/>
                <w:sz w:val="21"/>
                <w:szCs w:val="21"/>
              </w:rPr>
            </w:pPr>
            <w:r>
              <w:rPr>
                <w:rFonts w:eastAsia="宋体" w:cs="Times New Roman"/>
                <w:sz w:val="21"/>
                <w:szCs w:val="21"/>
              </w:rPr>
              <w:t>编制：</w:t>
            </w:r>
            <w:r>
              <w:rPr>
                <w:rFonts w:hint="eastAsia" w:eastAsia="宋体" w:cs="Times New Roman"/>
                <w:sz w:val="21"/>
                <w:szCs w:val="21"/>
              </w:rPr>
              <w:t xml:space="preserve"> </w:t>
            </w:r>
            <w:r>
              <w:rPr>
                <w:rFonts w:eastAsia="宋体" w:cs="Times New Roman"/>
                <w:sz w:val="21"/>
                <w:szCs w:val="21"/>
              </w:rPr>
              <w:t>审核：</w:t>
            </w:r>
            <w:r>
              <w:rPr>
                <w:rFonts w:hint="eastAsia" w:eastAsia="宋体" w:cs="Times New Roman"/>
                <w:sz w:val="21"/>
                <w:szCs w:val="21"/>
              </w:rPr>
              <w:t xml:space="preserve"> 批准：</w:t>
            </w:r>
          </w:p>
        </w:tc>
      </w:tr>
    </w:tbl>
    <w:p>
      <w:pPr>
        <w:adjustRightInd w:val="0"/>
        <w:snapToGrid w:val="0"/>
        <w:spacing w:line="360" w:lineRule="auto"/>
        <w:ind w:firstLine="434" w:firstLineChars="200"/>
        <w:contextualSpacing/>
        <w:jc w:val="center"/>
        <w:rPr>
          <w:rFonts w:eastAsia="宋体" w:cs="Times New Roman"/>
          <w:sz w:val="21"/>
        </w:rPr>
      </w:pPr>
      <w:r>
        <w:rPr>
          <w:rFonts w:eastAsia="宋体" w:cs="Times New Roman"/>
          <w:sz w:val="21"/>
        </w:rPr>
        <w:t>图</w:t>
      </w:r>
      <w:r>
        <w:rPr>
          <w:rFonts w:hint="eastAsia" w:eastAsia="宋体" w:cs="Times New Roman"/>
          <w:sz w:val="21"/>
        </w:rPr>
        <w:t>12-2 安全生产纠错和预防措施管理方案</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3.将安全生产标准化工作评定报告向所有部门、所属单位和从业人员通报。</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4.每年至少一次对安全生产标准化实施情况进行评定，并形成正式的评定报告。发生死亡事故或生产工艺发生重大变化应重新进行评定。</w:t>
      </w:r>
    </w:p>
    <w:p>
      <w:pPr>
        <w:adjustRightInd w:val="0"/>
        <w:snapToGrid w:val="0"/>
        <w:spacing w:line="360" w:lineRule="auto"/>
        <w:ind w:firstLine="494" w:firstLineChars="200"/>
        <w:contextualSpacing/>
        <w:jc w:val="left"/>
        <w:rPr>
          <w:rFonts w:eastAsia="宋体" w:cs="Times New Roman"/>
          <w:sz w:val="24"/>
        </w:rPr>
      </w:pPr>
      <w:r>
        <w:rPr>
          <w:rFonts w:hint="eastAsia" w:eastAsia="宋体" w:cs="Times New Roman"/>
          <w:sz w:val="24"/>
        </w:rPr>
        <w:t>释义：</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工贸企业自评报告示例如下：</w:t>
      </w:r>
    </w:p>
    <w:p>
      <w:pPr>
        <w:pStyle w:val="2"/>
        <w:adjustRightInd w:val="0"/>
        <w:snapToGrid w:val="0"/>
        <w:spacing w:after="0" w:line="360" w:lineRule="auto"/>
        <w:contextualSpacing/>
        <w:jc w:val="center"/>
        <w:rPr>
          <w:sz w:val="24"/>
          <w:szCs w:val="24"/>
        </w:rPr>
      </w:pPr>
      <w:r>
        <w:rPr>
          <w:sz w:val="24"/>
          <w:szCs w:val="24"/>
        </w:rPr>
        <w:drawing>
          <wp:inline distT="0" distB="0" distL="0" distR="0">
            <wp:extent cx="1639570" cy="2320290"/>
            <wp:effectExtent l="0" t="0" r="0" b="3810"/>
            <wp:docPr id="31035" name="图片 3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5" name="图片 31035"/>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653897" cy="2340856"/>
                    </a:xfrm>
                    <a:prstGeom prst="rect">
                      <a:avLst/>
                    </a:prstGeom>
                  </pic:spPr>
                </pic:pic>
              </a:graphicData>
            </a:graphic>
          </wp:inline>
        </w:drawing>
      </w:r>
      <w:r>
        <w:rPr>
          <w:sz w:val="24"/>
          <w:szCs w:val="24"/>
        </w:rPr>
        <w:drawing>
          <wp:inline distT="0" distB="0" distL="0" distR="0">
            <wp:extent cx="1799590" cy="2388235"/>
            <wp:effectExtent l="0" t="0" r="0" b="0"/>
            <wp:docPr id="31036" name="图片 3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6" name="图片 31036"/>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800000" cy="2388829"/>
                    </a:xfrm>
                    <a:prstGeom prst="rect">
                      <a:avLst/>
                    </a:prstGeom>
                  </pic:spPr>
                </pic:pic>
              </a:graphicData>
            </a:graphic>
          </wp:inline>
        </w:drawing>
      </w:r>
    </w:p>
    <w:p>
      <w:pPr>
        <w:adjustRightInd w:val="0"/>
        <w:snapToGrid w:val="0"/>
        <w:spacing w:line="360" w:lineRule="auto"/>
        <w:ind w:firstLine="434" w:firstLineChars="200"/>
        <w:contextualSpacing/>
        <w:jc w:val="center"/>
        <w:rPr>
          <w:rFonts w:eastAsia="宋体" w:cs="Times New Roman"/>
          <w:sz w:val="21"/>
        </w:rPr>
      </w:pPr>
      <w:r>
        <w:rPr>
          <w:rFonts w:eastAsia="宋体" w:cs="Times New Roman"/>
          <w:sz w:val="21"/>
        </w:rPr>
        <w:t>图</w:t>
      </w:r>
      <w:r>
        <w:rPr>
          <w:rFonts w:hint="eastAsia" w:eastAsia="宋体" w:cs="Times New Roman"/>
          <w:sz w:val="21"/>
        </w:rPr>
        <w:t xml:space="preserve">12-3 </w:t>
      </w:r>
      <w:r>
        <w:rPr>
          <w:rFonts w:eastAsia="宋体" w:cs="Times New Roman"/>
          <w:sz w:val="21"/>
        </w:rPr>
        <w:t>安全标准化实施评定报告示例</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5.将安全生产标准化实施情况的评定结果，纳入部门、所属单位、员工年度安全绩效考评。</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bookmarkStart w:id="73" w:name="_Toc25001"/>
      <w:bookmarkStart w:id="74" w:name="_Toc22867"/>
      <w:bookmarkStart w:id="75" w:name="_Toc2788"/>
      <w:r>
        <w:rPr>
          <w:rFonts w:ascii="Times New Roman" w:hAnsi="Times New Roman" w:eastAsia="宋体" w:cs="Times New Roman"/>
          <w:bCs w:val="0"/>
          <w:sz w:val="24"/>
          <w:szCs w:val="24"/>
        </w:rPr>
        <w:t>二、持续改进</w:t>
      </w:r>
      <w:bookmarkEnd w:id="73"/>
      <w:bookmarkEnd w:id="74"/>
      <w:bookmarkEnd w:id="75"/>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企业应根据安全生产标准化的评定结果和安全生产预警指数系统所反映的趋势，对安全生产目标、指标、规章制度、操作规程等进行修改完善，持续改进，不断提高安全绩效；</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根据安全生产标准化的评定结果和安全预警指数系统，对安全生产目标与指标、规章制度、操作规程等进行修改完善，制定完善安全生产标准化的工作计划和措施，实施计划、执行、检查、改进（PDCA）循环，不断提高安全绩效。</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释义：</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9" w:type="dxa"/>
          </w:tcPr>
          <w:p>
            <w:pPr>
              <w:adjustRightInd w:val="0"/>
              <w:snapToGrid w:val="0"/>
              <w:contextualSpacing/>
              <w:jc w:val="left"/>
              <w:rPr>
                <w:rFonts w:eastAsia="宋体" w:cs="Times New Roman"/>
                <w:b/>
                <w:sz w:val="18"/>
                <w:szCs w:val="18"/>
              </w:rPr>
            </w:pPr>
            <w:r>
              <w:rPr>
                <w:rFonts w:hint="eastAsia" w:eastAsia="宋体" w:cs="Times New Roman"/>
                <w:b/>
                <w:sz w:val="18"/>
                <w:szCs w:val="18"/>
              </w:rPr>
              <w:t>2021年</w:t>
            </w:r>
            <w:r>
              <w:rPr>
                <w:rFonts w:eastAsia="宋体" w:cs="Times New Roman"/>
                <w:b/>
                <w:sz w:val="18"/>
                <w:szCs w:val="18"/>
              </w:rPr>
              <w:t>安全生产标准化工作计划和措施</w:t>
            </w:r>
          </w:p>
          <w:p>
            <w:pPr>
              <w:adjustRightInd w:val="0"/>
              <w:snapToGrid w:val="0"/>
              <w:contextualSpacing/>
              <w:jc w:val="left"/>
              <w:rPr>
                <w:rFonts w:eastAsia="宋体" w:cs="Times New Roman"/>
                <w:b/>
                <w:sz w:val="18"/>
                <w:szCs w:val="18"/>
              </w:rPr>
            </w:pPr>
            <w:r>
              <w:rPr>
                <w:rFonts w:eastAsia="宋体" w:cs="Times New Roman"/>
                <w:b/>
                <w:sz w:val="18"/>
                <w:szCs w:val="18"/>
              </w:rPr>
              <w:t>1 工作计划</w:t>
            </w:r>
          </w:p>
          <w:p>
            <w:pPr>
              <w:adjustRightInd w:val="0"/>
              <w:snapToGrid w:val="0"/>
              <w:contextualSpacing/>
              <w:jc w:val="left"/>
              <w:rPr>
                <w:rFonts w:eastAsia="宋体" w:cs="Times New Roman"/>
                <w:b/>
                <w:sz w:val="18"/>
                <w:szCs w:val="18"/>
              </w:rPr>
            </w:pPr>
            <w:r>
              <w:rPr>
                <w:rFonts w:eastAsia="宋体" w:cs="Times New Roman"/>
                <w:b/>
                <w:sz w:val="18"/>
                <w:szCs w:val="18"/>
              </w:rPr>
              <w:t>一月份</w:t>
            </w:r>
          </w:p>
          <w:p>
            <w:pPr>
              <w:adjustRightInd w:val="0"/>
              <w:snapToGrid w:val="0"/>
              <w:contextualSpacing/>
              <w:jc w:val="left"/>
              <w:rPr>
                <w:rFonts w:eastAsia="宋体" w:cs="Times New Roman"/>
                <w:sz w:val="18"/>
                <w:szCs w:val="18"/>
              </w:rPr>
            </w:pPr>
            <w:r>
              <w:rPr>
                <w:rFonts w:eastAsia="宋体" w:cs="Times New Roman"/>
                <w:sz w:val="18"/>
                <w:szCs w:val="18"/>
              </w:rPr>
              <w:t>组织开展春节前安全生产大检查工作，确保春节期间生产安全。</w:t>
            </w:r>
          </w:p>
          <w:p>
            <w:pPr>
              <w:adjustRightInd w:val="0"/>
              <w:snapToGrid w:val="0"/>
              <w:contextualSpacing/>
              <w:jc w:val="left"/>
              <w:rPr>
                <w:rFonts w:eastAsia="宋体" w:cs="Times New Roman"/>
                <w:sz w:val="18"/>
                <w:szCs w:val="18"/>
              </w:rPr>
            </w:pPr>
            <w:r>
              <w:rPr>
                <w:rFonts w:eastAsia="宋体" w:cs="Times New Roman"/>
                <w:sz w:val="18"/>
                <w:szCs w:val="18"/>
              </w:rPr>
              <w:t>召开安全生产工作会议，总结上年度安全生产标准化工作，兑现上一年四季度安全责任考核，布置XXXX年度安全生产标准化工作。讨论研究单位XXXX年度安全生产标准化目标、指标、工作计划、安全责任状，与各部门签订“安全责任状”。组织各部门根据单位的工作目标、指标、工作计划，分解编制本部门、班组的安全生产标准化工作目标、指标、计划，并制定管理方案，严格执行。组织安全生产标准化相关法律法规的识别、评价、更新。完成其他临时性安全生产标准化工作。</w:t>
            </w:r>
          </w:p>
          <w:p>
            <w:pPr>
              <w:adjustRightInd w:val="0"/>
              <w:snapToGrid w:val="0"/>
              <w:contextualSpacing/>
              <w:jc w:val="left"/>
              <w:rPr>
                <w:rFonts w:eastAsia="宋体" w:cs="Times New Roman"/>
                <w:b/>
                <w:sz w:val="18"/>
                <w:szCs w:val="18"/>
              </w:rPr>
            </w:pPr>
            <w:r>
              <w:rPr>
                <w:rFonts w:eastAsia="宋体" w:cs="Times New Roman"/>
                <w:b/>
                <w:sz w:val="18"/>
                <w:szCs w:val="18"/>
              </w:rPr>
              <w:t>二月份</w:t>
            </w:r>
          </w:p>
          <w:p>
            <w:pPr>
              <w:adjustRightInd w:val="0"/>
              <w:snapToGrid w:val="0"/>
              <w:contextualSpacing/>
              <w:jc w:val="left"/>
              <w:rPr>
                <w:rFonts w:eastAsia="宋体" w:cs="Times New Roman"/>
                <w:sz w:val="18"/>
                <w:szCs w:val="18"/>
              </w:rPr>
            </w:pPr>
            <w:r>
              <w:rPr>
                <w:rFonts w:eastAsia="宋体" w:cs="Times New Roman"/>
                <w:sz w:val="18"/>
                <w:szCs w:val="18"/>
              </w:rPr>
              <w:t>组织完成危险有害因素的识别评价，并对评价出的重大危险因素采取有针对性的监控措施，落实责任人。组织完善单位安全生产标准化文件体系，检查考核文件的修订完善工作。组织相关职能部门指导合格班组的创建工作。组织开展春季安全大检查。组织安全生产标准化相关法律法规的识别、评价、更新。</w:t>
            </w:r>
          </w:p>
          <w:p>
            <w:pPr>
              <w:adjustRightInd w:val="0"/>
              <w:snapToGrid w:val="0"/>
              <w:contextualSpacing/>
              <w:jc w:val="left"/>
              <w:rPr>
                <w:rFonts w:eastAsia="宋体" w:cs="Times New Roman"/>
                <w:sz w:val="18"/>
                <w:szCs w:val="18"/>
              </w:rPr>
            </w:pPr>
            <w:r>
              <w:rPr>
                <w:rFonts w:eastAsia="宋体" w:cs="Times New Roman"/>
                <w:sz w:val="18"/>
                <w:szCs w:val="18"/>
              </w:rPr>
              <w:t>完成其他临时性安全生产标准化工作。</w:t>
            </w:r>
          </w:p>
          <w:p>
            <w:pPr>
              <w:adjustRightInd w:val="0"/>
              <w:snapToGrid w:val="0"/>
              <w:contextualSpacing/>
              <w:jc w:val="left"/>
              <w:rPr>
                <w:rFonts w:eastAsia="宋体" w:cs="Times New Roman"/>
                <w:b/>
                <w:sz w:val="18"/>
                <w:szCs w:val="18"/>
              </w:rPr>
            </w:pPr>
            <w:r>
              <w:rPr>
                <w:rFonts w:eastAsia="宋体" w:cs="Times New Roman"/>
                <w:b/>
                <w:sz w:val="18"/>
                <w:szCs w:val="18"/>
              </w:rPr>
              <w:t>三月份</w:t>
            </w:r>
          </w:p>
          <w:p>
            <w:pPr>
              <w:adjustRightInd w:val="0"/>
              <w:snapToGrid w:val="0"/>
              <w:contextualSpacing/>
              <w:jc w:val="left"/>
              <w:rPr>
                <w:rFonts w:eastAsia="宋体" w:cs="Times New Roman"/>
                <w:sz w:val="18"/>
                <w:szCs w:val="18"/>
              </w:rPr>
            </w:pPr>
            <w:r>
              <w:rPr>
                <w:rFonts w:eastAsia="宋体" w:cs="Times New Roman"/>
                <w:sz w:val="18"/>
                <w:szCs w:val="18"/>
              </w:rPr>
              <w:t>组织安全生产标准化相关法律法规的识别、评价、更新。</w:t>
            </w:r>
          </w:p>
          <w:p>
            <w:pPr>
              <w:adjustRightInd w:val="0"/>
              <w:snapToGrid w:val="0"/>
              <w:contextualSpacing/>
              <w:jc w:val="left"/>
              <w:rPr>
                <w:rFonts w:eastAsia="宋体" w:cs="Times New Roman"/>
                <w:sz w:val="18"/>
                <w:szCs w:val="18"/>
              </w:rPr>
            </w:pPr>
            <w:r>
              <w:rPr>
                <w:rFonts w:eastAsia="宋体" w:cs="Times New Roman"/>
                <w:sz w:val="18"/>
                <w:szCs w:val="18"/>
              </w:rPr>
              <w:t>组织进行春季安全、消防、职业卫生综合检查。</w:t>
            </w:r>
          </w:p>
          <w:p>
            <w:pPr>
              <w:adjustRightInd w:val="0"/>
              <w:snapToGrid w:val="0"/>
              <w:contextualSpacing/>
              <w:jc w:val="left"/>
              <w:rPr>
                <w:rFonts w:eastAsia="宋体" w:cs="Times New Roman"/>
                <w:sz w:val="18"/>
                <w:szCs w:val="18"/>
              </w:rPr>
            </w:pPr>
            <w:r>
              <w:rPr>
                <w:rFonts w:eastAsia="宋体" w:cs="Times New Roman"/>
                <w:sz w:val="18"/>
                <w:szCs w:val="18"/>
              </w:rPr>
              <w:t>组织生产操作人员进行安全操作技术规程、安全技术和特种设备操作人员的培训学习考试。</w:t>
            </w:r>
          </w:p>
          <w:p>
            <w:pPr>
              <w:adjustRightInd w:val="0"/>
              <w:snapToGrid w:val="0"/>
              <w:contextualSpacing/>
              <w:jc w:val="left"/>
              <w:rPr>
                <w:rFonts w:eastAsia="宋体" w:cs="Times New Roman"/>
                <w:sz w:val="18"/>
                <w:szCs w:val="18"/>
              </w:rPr>
            </w:pPr>
            <w:r>
              <w:rPr>
                <w:rFonts w:eastAsia="宋体" w:cs="Times New Roman"/>
                <w:sz w:val="18"/>
                <w:szCs w:val="18"/>
              </w:rPr>
              <w:t>对单位各部门识别的环境因素清单和危害因素清单进行审核，汇总形成单位环境因素清单和危害因素清单，并审核重要环境因素监测措施的有效性，上报有关部门。</w:t>
            </w:r>
          </w:p>
          <w:p>
            <w:pPr>
              <w:adjustRightInd w:val="0"/>
              <w:snapToGrid w:val="0"/>
              <w:contextualSpacing/>
              <w:jc w:val="left"/>
              <w:rPr>
                <w:rFonts w:eastAsia="宋体" w:cs="Times New Roman"/>
                <w:sz w:val="18"/>
                <w:szCs w:val="18"/>
              </w:rPr>
            </w:pPr>
            <w:r>
              <w:rPr>
                <w:rFonts w:eastAsia="宋体" w:cs="Times New Roman"/>
                <w:sz w:val="18"/>
                <w:szCs w:val="18"/>
              </w:rPr>
              <w:t>总结一季度安全生产标准化工作，组织单位各部门开展一季度安全生产标准化内审和自评，对一季度安全环保责任状进行考核兑现，配合和接受一季度安全生产标准化自查评。</w:t>
            </w:r>
          </w:p>
          <w:p>
            <w:pPr>
              <w:adjustRightInd w:val="0"/>
              <w:snapToGrid w:val="0"/>
              <w:contextualSpacing/>
              <w:jc w:val="left"/>
              <w:rPr>
                <w:rFonts w:eastAsia="宋体" w:cs="Times New Roman"/>
                <w:sz w:val="18"/>
                <w:szCs w:val="18"/>
              </w:rPr>
            </w:pPr>
            <w:r>
              <w:rPr>
                <w:rFonts w:eastAsia="宋体" w:cs="Times New Roman"/>
                <w:sz w:val="18"/>
                <w:szCs w:val="18"/>
              </w:rPr>
              <w:t>完成其他临时性安全生产标准化工作。</w:t>
            </w:r>
          </w:p>
          <w:p>
            <w:pPr>
              <w:adjustRightInd w:val="0"/>
              <w:snapToGrid w:val="0"/>
              <w:contextualSpacing/>
              <w:jc w:val="left"/>
              <w:rPr>
                <w:rFonts w:eastAsia="宋体" w:cs="Times New Roman"/>
                <w:sz w:val="18"/>
                <w:szCs w:val="18"/>
              </w:rPr>
            </w:pPr>
          </w:p>
        </w:tc>
        <w:tc>
          <w:tcPr>
            <w:tcW w:w="3170" w:type="dxa"/>
          </w:tcPr>
          <w:p>
            <w:pPr>
              <w:adjustRightInd w:val="0"/>
              <w:snapToGrid w:val="0"/>
              <w:contextualSpacing/>
              <w:jc w:val="left"/>
              <w:rPr>
                <w:rFonts w:eastAsia="宋体" w:cs="Times New Roman"/>
                <w:b/>
                <w:sz w:val="18"/>
                <w:szCs w:val="18"/>
              </w:rPr>
            </w:pPr>
            <w:r>
              <w:rPr>
                <w:rFonts w:eastAsia="宋体" w:cs="Times New Roman"/>
                <w:b/>
                <w:sz w:val="18"/>
                <w:szCs w:val="18"/>
              </w:rPr>
              <w:t>四月份</w:t>
            </w:r>
          </w:p>
          <w:p>
            <w:pPr>
              <w:adjustRightInd w:val="0"/>
              <w:snapToGrid w:val="0"/>
              <w:contextualSpacing/>
              <w:jc w:val="left"/>
              <w:rPr>
                <w:rFonts w:eastAsia="宋体" w:cs="Times New Roman"/>
                <w:sz w:val="18"/>
                <w:szCs w:val="18"/>
              </w:rPr>
            </w:pPr>
            <w:r>
              <w:rPr>
                <w:rFonts w:eastAsia="宋体" w:cs="Times New Roman"/>
                <w:sz w:val="18"/>
                <w:szCs w:val="18"/>
              </w:rPr>
              <w:t>一季度安全生产标准化自查评发现问题的整改及跟踪验证。</w:t>
            </w:r>
          </w:p>
          <w:p>
            <w:pPr>
              <w:adjustRightInd w:val="0"/>
              <w:snapToGrid w:val="0"/>
              <w:contextualSpacing/>
              <w:jc w:val="left"/>
              <w:rPr>
                <w:rFonts w:eastAsia="宋体" w:cs="Times New Roman"/>
                <w:sz w:val="18"/>
                <w:szCs w:val="18"/>
              </w:rPr>
            </w:pPr>
            <w:r>
              <w:rPr>
                <w:rFonts w:eastAsia="宋体" w:cs="Times New Roman"/>
                <w:sz w:val="18"/>
                <w:szCs w:val="18"/>
              </w:rPr>
              <w:t>完成员工安全教育考试成绩上档。组织开展“清明”、“五一”节前安全大检查，确保假日期间的安全生产。组织开展进入雨季前防雨防汛的专项安全检查，确保雨季期间变配室、安全设施、设备线路和输电线路、架空线路、用电设备的安、稳、长、满、优运行。组织安全生产标准化相关法律法规的识别、评价、更新。完成其他临时性安全生产标准化工作。</w:t>
            </w:r>
          </w:p>
          <w:p>
            <w:pPr>
              <w:adjustRightInd w:val="0"/>
              <w:snapToGrid w:val="0"/>
              <w:contextualSpacing/>
              <w:jc w:val="left"/>
              <w:rPr>
                <w:rFonts w:eastAsia="宋体" w:cs="Times New Roman"/>
                <w:b/>
                <w:sz w:val="18"/>
                <w:szCs w:val="18"/>
              </w:rPr>
            </w:pPr>
            <w:r>
              <w:rPr>
                <w:rFonts w:eastAsia="宋体" w:cs="Times New Roman"/>
                <w:b/>
                <w:sz w:val="18"/>
                <w:szCs w:val="18"/>
              </w:rPr>
              <w:t>五月份</w:t>
            </w:r>
          </w:p>
          <w:p>
            <w:pPr>
              <w:adjustRightInd w:val="0"/>
              <w:snapToGrid w:val="0"/>
              <w:contextualSpacing/>
              <w:jc w:val="left"/>
              <w:rPr>
                <w:rFonts w:eastAsia="宋体" w:cs="Times New Roman"/>
                <w:sz w:val="18"/>
                <w:szCs w:val="18"/>
              </w:rPr>
            </w:pPr>
            <w:r>
              <w:rPr>
                <w:rFonts w:eastAsia="宋体" w:cs="Times New Roman"/>
                <w:sz w:val="18"/>
                <w:szCs w:val="18"/>
              </w:rPr>
              <w:t>根据单位的安全教育情况，组织在职单位中层管理人员、专职安全管理人员参加单位举办的安全法律法规培训。</w:t>
            </w:r>
          </w:p>
          <w:p>
            <w:pPr>
              <w:adjustRightInd w:val="0"/>
              <w:snapToGrid w:val="0"/>
              <w:contextualSpacing/>
              <w:jc w:val="left"/>
              <w:rPr>
                <w:rFonts w:eastAsia="宋体" w:cs="Times New Roman"/>
                <w:sz w:val="18"/>
                <w:szCs w:val="18"/>
              </w:rPr>
            </w:pPr>
            <w:r>
              <w:rPr>
                <w:rFonts w:eastAsia="宋体" w:cs="Times New Roman"/>
                <w:sz w:val="18"/>
                <w:szCs w:val="18"/>
              </w:rPr>
              <w:t>组织开展完成对各部门生产设备的专项安全检查。</w:t>
            </w:r>
          </w:p>
          <w:p>
            <w:pPr>
              <w:adjustRightInd w:val="0"/>
              <w:snapToGrid w:val="0"/>
              <w:contextualSpacing/>
              <w:jc w:val="left"/>
              <w:rPr>
                <w:rFonts w:eastAsia="宋体" w:cs="Times New Roman"/>
                <w:sz w:val="18"/>
                <w:szCs w:val="18"/>
              </w:rPr>
            </w:pPr>
            <w:r>
              <w:rPr>
                <w:rFonts w:eastAsia="宋体" w:cs="Times New Roman"/>
                <w:sz w:val="18"/>
                <w:szCs w:val="18"/>
              </w:rPr>
              <w:t>对各类安全设备、设施防护罩、联锁装置、防护栏等进行专项检查。</w:t>
            </w:r>
          </w:p>
          <w:p>
            <w:pPr>
              <w:adjustRightInd w:val="0"/>
              <w:snapToGrid w:val="0"/>
              <w:contextualSpacing/>
              <w:jc w:val="left"/>
              <w:rPr>
                <w:rFonts w:eastAsia="宋体" w:cs="Times New Roman"/>
                <w:sz w:val="18"/>
                <w:szCs w:val="18"/>
              </w:rPr>
            </w:pPr>
            <w:r>
              <w:rPr>
                <w:rFonts w:eastAsia="宋体" w:cs="Times New Roman"/>
                <w:sz w:val="18"/>
                <w:szCs w:val="18"/>
              </w:rPr>
              <w:t>组织安全生产标准化相关法律法规的识别、评价、更新。</w:t>
            </w:r>
          </w:p>
          <w:p>
            <w:pPr>
              <w:adjustRightInd w:val="0"/>
              <w:snapToGrid w:val="0"/>
              <w:contextualSpacing/>
              <w:jc w:val="left"/>
              <w:rPr>
                <w:rFonts w:eastAsia="宋体" w:cs="Times New Roman"/>
                <w:sz w:val="18"/>
                <w:szCs w:val="18"/>
              </w:rPr>
            </w:pPr>
            <w:r>
              <w:rPr>
                <w:rFonts w:eastAsia="宋体" w:cs="Times New Roman"/>
                <w:sz w:val="18"/>
                <w:szCs w:val="18"/>
              </w:rPr>
              <w:t>完成其他临时性安全生产标准化工作。</w:t>
            </w:r>
          </w:p>
          <w:p>
            <w:pPr>
              <w:adjustRightInd w:val="0"/>
              <w:snapToGrid w:val="0"/>
              <w:contextualSpacing/>
              <w:jc w:val="left"/>
              <w:rPr>
                <w:rFonts w:eastAsia="宋体" w:cs="Times New Roman"/>
                <w:b/>
                <w:sz w:val="18"/>
                <w:szCs w:val="18"/>
              </w:rPr>
            </w:pPr>
            <w:r>
              <w:rPr>
                <w:rFonts w:eastAsia="宋体" w:cs="Times New Roman"/>
                <w:b/>
                <w:sz w:val="18"/>
                <w:szCs w:val="18"/>
              </w:rPr>
              <w:t>六月份</w:t>
            </w:r>
          </w:p>
          <w:p>
            <w:pPr>
              <w:adjustRightInd w:val="0"/>
              <w:snapToGrid w:val="0"/>
              <w:contextualSpacing/>
              <w:jc w:val="left"/>
              <w:rPr>
                <w:rFonts w:eastAsia="宋体" w:cs="Times New Roman"/>
                <w:sz w:val="18"/>
                <w:szCs w:val="18"/>
              </w:rPr>
            </w:pPr>
            <w:r>
              <w:rPr>
                <w:rFonts w:eastAsia="宋体" w:cs="Times New Roman"/>
                <w:sz w:val="18"/>
                <w:szCs w:val="18"/>
              </w:rPr>
              <w:t>组织协调开展好单位“安全生产月”系列活动，以活动为契机，夯实安全管理基础，提高员工安全技术，真强员工安全环保意识。组织开展端午节前、夏季安全大检查活动。总结二季度安全生产标准化工作，组织各部门开展二季度安全生产标准化内审自评，对二季度安全责任状进行考核兑现，配合和接受单位二季度安全生产标准化自查评。开展专项应急预案演练。组织安全生产标准化相关法律法规的识别、评价、更新。完成其他临时性安全生产标准化工作。</w:t>
            </w:r>
          </w:p>
          <w:p>
            <w:pPr>
              <w:adjustRightInd w:val="0"/>
              <w:snapToGrid w:val="0"/>
              <w:contextualSpacing/>
              <w:jc w:val="left"/>
              <w:rPr>
                <w:rFonts w:eastAsia="宋体" w:cs="Times New Roman"/>
                <w:b/>
                <w:sz w:val="18"/>
                <w:szCs w:val="18"/>
              </w:rPr>
            </w:pPr>
            <w:r>
              <w:rPr>
                <w:rFonts w:eastAsia="宋体" w:cs="Times New Roman"/>
                <w:b/>
                <w:sz w:val="18"/>
                <w:szCs w:val="18"/>
              </w:rPr>
              <w:t>七月份</w:t>
            </w:r>
          </w:p>
          <w:p>
            <w:pPr>
              <w:adjustRightInd w:val="0"/>
              <w:snapToGrid w:val="0"/>
              <w:contextualSpacing/>
              <w:jc w:val="left"/>
              <w:rPr>
                <w:rFonts w:eastAsia="宋体" w:cs="Times New Roman"/>
                <w:sz w:val="18"/>
                <w:szCs w:val="18"/>
              </w:rPr>
            </w:pPr>
            <w:r>
              <w:rPr>
                <w:rFonts w:eastAsia="宋体" w:cs="Times New Roman"/>
                <w:sz w:val="18"/>
                <w:szCs w:val="18"/>
              </w:rPr>
              <w:t>二季度安全生产标准化自查评发现问题的整改及跟踪验证。对单位安全生产月活动情况进行总结。加强设备检查维护，保障员工人身安全和健康。开展安全专项治理检查活动，切实做好各项安全工作。组织安全生产标准化相关法律法规的识别、评价、更新。完成其他临时性安全生产标准化工作。</w:t>
            </w:r>
          </w:p>
          <w:p>
            <w:pPr>
              <w:adjustRightInd w:val="0"/>
              <w:snapToGrid w:val="0"/>
              <w:contextualSpacing/>
              <w:jc w:val="left"/>
              <w:rPr>
                <w:rFonts w:eastAsia="宋体" w:cs="Times New Roman"/>
                <w:sz w:val="18"/>
                <w:szCs w:val="18"/>
              </w:rPr>
            </w:pPr>
          </w:p>
        </w:tc>
      </w:tr>
    </w:tbl>
    <w:p>
      <w:pPr>
        <w:pStyle w:val="2"/>
        <w:rPr>
          <w:sz w:val="18"/>
          <w:szCs w:val="18"/>
        </w:r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3169" w:type="dxa"/>
          </w:tcPr>
          <w:p>
            <w:pPr>
              <w:adjustRightInd w:val="0"/>
              <w:snapToGrid w:val="0"/>
              <w:contextualSpacing/>
              <w:jc w:val="left"/>
              <w:rPr>
                <w:rFonts w:eastAsia="宋体" w:cs="Times New Roman"/>
                <w:b/>
                <w:sz w:val="18"/>
                <w:szCs w:val="18"/>
              </w:rPr>
            </w:pPr>
            <w:r>
              <w:rPr>
                <w:rFonts w:eastAsia="宋体" w:cs="Times New Roman"/>
                <w:b/>
                <w:sz w:val="18"/>
                <w:szCs w:val="18"/>
              </w:rPr>
              <w:t>八月份</w:t>
            </w:r>
          </w:p>
          <w:p>
            <w:pPr>
              <w:adjustRightInd w:val="0"/>
              <w:snapToGrid w:val="0"/>
              <w:contextualSpacing/>
              <w:jc w:val="left"/>
              <w:rPr>
                <w:rFonts w:eastAsia="宋体" w:cs="Times New Roman"/>
                <w:sz w:val="18"/>
                <w:szCs w:val="18"/>
              </w:rPr>
            </w:pPr>
            <w:r>
              <w:rPr>
                <w:rFonts w:eastAsia="宋体" w:cs="Times New Roman"/>
                <w:sz w:val="18"/>
                <w:szCs w:val="18"/>
              </w:rPr>
              <w:t>抽查部分岗位员工对正确使用消防、防护器材的掌握情况。</w:t>
            </w:r>
          </w:p>
          <w:p>
            <w:pPr>
              <w:adjustRightInd w:val="0"/>
              <w:snapToGrid w:val="0"/>
              <w:contextualSpacing/>
              <w:jc w:val="left"/>
              <w:rPr>
                <w:rFonts w:eastAsia="宋体" w:cs="Times New Roman"/>
                <w:sz w:val="18"/>
                <w:szCs w:val="18"/>
              </w:rPr>
            </w:pPr>
            <w:r>
              <w:rPr>
                <w:rFonts w:eastAsia="宋体" w:cs="Times New Roman"/>
                <w:sz w:val="18"/>
                <w:szCs w:val="18"/>
              </w:rPr>
              <w:t>完成其他临时性安全生产标准化工作。</w:t>
            </w:r>
          </w:p>
          <w:p>
            <w:pPr>
              <w:adjustRightInd w:val="0"/>
              <w:snapToGrid w:val="0"/>
              <w:contextualSpacing/>
              <w:jc w:val="left"/>
              <w:rPr>
                <w:rFonts w:eastAsia="宋体" w:cs="Times New Roman"/>
                <w:b/>
                <w:sz w:val="18"/>
                <w:szCs w:val="18"/>
              </w:rPr>
            </w:pPr>
            <w:r>
              <w:rPr>
                <w:rFonts w:eastAsia="宋体" w:cs="Times New Roman"/>
                <w:b/>
                <w:sz w:val="18"/>
                <w:szCs w:val="18"/>
              </w:rPr>
              <w:t>九月份</w:t>
            </w:r>
          </w:p>
          <w:p>
            <w:pPr>
              <w:adjustRightInd w:val="0"/>
              <w:snapToGrid w:val="0"/>
              <w:contextualSpacing/>
              <w:jc w:val="left"/>
              <w:rPr>
                <w:rFonts w:eastAsia="宋体" w:cs="Times New Roman"/>
                <w:sz w:val="18"/>
                <w:szCs w:val="18"/>
              </w:rPr>
            </w:pPr>
            <w:r>
              <w:rPr>
                <w:rFonts w:eastAsia="宋体" w:cs="Times New Roman"/>
                <w:sz w:val="18"/>
                <w:szCs w:val="18"/>
              </w:rPr>
              <w:t>组织开展双节前安全大检查，确保节日期间安全生产。开展班组安全活动。总结三季度安全生产标准化工作，组织各部门开展三季度安全生产标准化的内审和自评，对三季度安全环保责任状进行考核兑现，配合和接受单位三季度安全生产标准化自查评。组织安全生产标准化相关法律法规的识别、评价、更新。</w:t>
            </w:r>
          </w:p>
          <w:p>
            <w:pPr>
              <w:adjustRightInd w:val="0"/>
              <w:snapToGrid w:val="0"/>
              <w:contextualSpacing/>
              <w:jc w:val="left"/>
              <w:rPr>
                <w:rFonts w:eastAsia="宋体" w:cs="Times New Roman"/>
                <w:sz w:val="18"/>
                <w:szCs w:val="18"/>
              </w:rPr>
            </w:pPr>
            <w:r>
              <w:rPr>
                <w:rFonts w:eastAsia="宋体" w:cs="Times New Roman"/>
                <w:sz w:val="18"/>
                <w:szCs w:val="18"/>
              </w:rPr>
              <w:t>完成其他临时性安全生产标准化工作。</w:t>
            </w:r>
          </w:p>
          <w:p>
            <w:pPr>
              <w:adjustRightInd w:val="0"/>
              <w:snapToGrid w:val="0"/>
              <w:contextualSpacing/>
              <w:jc w:val="left"/>
              <w:rPr>
                <w:rFonts w:eastAsia="宋体" w:cs="Times New Roman"/>
                <w:b/>
                <w:sz w:val="18"/>
                <w:szCs w:val="18"/>
              </w:rPr>
            </w:pPr>
            <w:r>
              <w:rPr>
                <w:rFonts w:eastAsia="宋体" w:cs="Times New Roman"/>
                <w:b/>
                <w:sz w:val="18"/>
                <w:szCs w:val="18"/>
              </w:rPr>
              <w:t>十月份</w:t>
            </w:r>
          </w:p>
          <w:p>
            <w:pPr>
              <w:adjustRightInd w:val="0"/>
              <w:snapToGrid w:val="0"/>
              <w:contextualSpacing/>
              <w:jc w:val="left"/>
              <w:rPr>
                <w:rFonts w:eastAsia="宋体" w:cs="Times New Roman"/>
                <w:sz w:val="18"/>
                <w:szCs w:val="18"/>
              </w:rPr>
            </w:pPr>
            <w:r>
              <w:rPr>
                <w:rFonts w:eastAsia="宋体" w:cs="Times New Roman"/>
                <w:sz w:val="18"/>
                <w:szCs w:val="18"/>
              </w:rPr>
              <w:t>组织进行年度适用法律法规及其他要求、安全生产管理制度操作技术规程、应急预案的符合性评审。组织全员参加单位年度消防安全培训。对各部门自检自查合格后向单位申报的安全合格班组进行单位检查、审核、考评、验收。组织安全生产标准化相关法律法规的识别、评价、更新。完成其他临时性安全生产标准化工。</w:t>
            </w:r>
          </w:p>
          <w:p>
            <w:pPr>
              <w:adjustRightInd w:val="0"/>
              <w:snapToGrid w:val="0"/>
              <w:contextualSpacing/>
              <w:jc w:val="left"/>
              <w:rPr>
                <w:rFonts w:eastAsia="宋体" w:cs="Times New Roman"/>
                <w:sz w:val="18"/>
                <w:szCs w:val="18"/>
              </w:rPr>
            </w:pPr>
          </w:p>
        </w:tc>
        <w:tc>
          <w:tcPr>
            <w:tcW w:w="3170" w:type="dxa"/>
          </w:tcPr>
          <w:p>
            <w:pPr>
              <w:adjustRightInd w:val="0"/>
              <w:snapToGrid w:val="0"/>
              <w:contextualSpacing/>
              <w:jc w:val="left"/>
              <w:rPr>
                <w:rFonts w:eastAsia="宋体" w:cs="Times New Roman"/>
                <w:b/>
                <w:sz w:val="18"/>
                <w:szCs w:val="18"/>
              </w:rPr>
            </w:pPr>
            <w:r>
              <w:rPr>
                <w:rFonts w:eastAsia="宋体" w:cs="Times New Roman"/>
                <w:b/>
                <w:sz w:val="18"/>
                <w:szCs w:val="18"/>
              </w:rPr>
              <w:t>十一月份</w:t>
            </w:r>
          </w:p>
          <w:p>
            <w:pPr>
              <w:adjustRightInd w:val="0"/>
              <w:snapToGrid w:val="0"/>
              <w:contextualSpacing/>
              <w:jc w:val="left"/>
              <w:rPr>
                <w:rFonts w:eastAsia="宋体" w:cs="Times New Roman"/>
                <w:sz w:val="18"/>
                <w:szCs w:val="18"/>
              </w:rPr>
            </w:pPr>
            <w:r>
              <w:rPr>
                <w:rFonts w:eastAsia="宋体" w:cs="Times New Roman"/>
                <w:sz w:val="18"/>
                <w:szCs w:val="18"/>
              </w:rPr>
              <w:t>组织岗位员工学习《中华人民共和国消防法》有关条款摘录的岗位练兵活动，结合“消防日”进行消防安全知识的宣传，组织相关活动。组织开展冬季变配电、供电设施、机泵设备、管道设备、仪表控制设备安全大检查，对各部门消防器材和安全用具、防护用具的维护、保养情况进行专项检查。</w:t>
            </w:r>
          </w:p>
          <w:p>
            <w:pPr>
              <w:adjustRightInd w:val="0"/>
              <w:snapToGrid w:val="0"/>
              <w:contextualSpacing/>
              <w:jc w:val="left"/>
              <w:rPr>
                <w:rFonts w:eastAsia="宋体" w:cs="Times New Roman"/>
                <w:sz w:val="18"/>
                <w:szCs w:val="18"/>
              </w:rPr>
            </w:pPr>
            <w:r>
              <w:rPr>
                <w:rFonts w:eastAsia="宋体" w:cs="Times New Roman"/>
                <w:sz w:val="18"/>
                <w:szCs w:val="18"/>
              </w:rPr>
              <w:t>对已经通过各部门检查、考评、复审、筛选、审查已经达到安全合格班组考评、验收标准要求的班组，推荐、申报单位进行考评验收。组织安全生产标准化相关法律法规的识别、评价、更新。完成其他临时性安全生产标准化工作。</w:t>
            </w:r>
          </w:p>
          <w:p>
            <w:pPr>
              <w:adjustRightInd w:val="0"/>
              <w:snapToGrid w:val="0"/>
              <w:contextualSpacing/>
              <w:jc w:val="left"/>
              <w:rPr>
                <w:rFonts w:eastAsia="宋体" w:cs="Times New Roman"/>
                <w:b/>
                <w:sz w:val="18"/>
                <w:szCs w:val="18"/>
              </w:rPr>
            </w:pPr>
            <w:r>
              <w:rPr>
                <w:rFonts w:eastAsia="宋体" w:cs="Times New Roman"/>
                <w:b/>
                <w:sz w:val="18"/>
                <w:szCs w:val="18"/>
              </w:rPr>
              <w:t>十二月份</w:t>
            </w:r>
          </w:p>
          <w:p>
            <w:pPr>
              <w:adjustRightInd w:val="0"/>
              <w:snapToGrid w:val="0"/>
              <w:contextualSpacing/>
              <w:jc w:val="left"/>
              <w:rPr>
                <w:rFonts w:eastAsia="宋体" w:cs="Times New Roman"/>
                <w:sz w:val="18"/>
                <w:szCs w:val="18"/>
              </w:rPr>
            </w:pPr>
            <w:r>
              <w:rPr>
                <w:rFonts w:eastAsia="宋体" w:cs="Times New Roman"/>
                <w:sz w:val="18"/>
                <w:szCs w:val="18"/>
              </w:rPr>
              <w:t>总结四季度安全生产标准化工作，组织各部门开展四季度安全生产标准化内审和自评，对四季度安全环保责任状进行考核兑现，配合和接受单位四季度安全生产标准化自查评。做好安全生产标准化工作总结，拟定XXXX年度安全生产标准化工作计划。组织做好年度安全环保先进集体、班组、个人总结评比工作。组织开展“元旦节”前安全大检查，确保假日期间的安全生产。</w:t>
            </w:r>
          </w:p>
          <w:p>
            <w:pPr>
              <w:adjustRightInd w:val="0"/>
              <w:snapToGrid w:val="0"/>
              <w:contextualSpacing/>
              <w:jc w:val="left"/>
              <w:rPr>
                <w:rFonts w:eastAsia="宋体" w:cs="Times New Roman"/>
                <w:sz w:val="18"/>
                <w:szCs w:val="18"/>
              </w:rPr>
            </w:pPr>
            <w:r>
              <w:rPr>
                <w:rFonts w:eastAsia="宋体" w:cs="Times New Roman"/>
                <w:sz w:val="18"/>
                <w:szCs w:val="18"/>
              </w:rPr>
              <w:t>组织有关职能人员检查班组应准备的台帐和相关材料文件，接受单位的考评验收。组织安全生产标准化相关法律法规的识别、评价、更新。完成其他临时性安全生产标准化工作。</w:t>
            </w:r>
          </w:p>
        </w:tc>
      </w:tr>
    </w:tbl>
    <w:p>
      <w:pPr>
        <w:pStyle w:val="2"/>
        <w:rPr>
          <w:sz w:val="18"/>
          <w:szCs w:val="18"/>
        </w:r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9"/>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69" w:type="dxa"/>
          </w:tcPr>
          <w:p>
            <w:pPr>
              <w:adjustRightInd w:val="0"/>
              <w:snapToGrid w:val="0"/>
              <w:contextualSpacing/>
              <w:jc w:val="left"/>
              <w:rPr>
                <w:rFonts w:eastAsia="宋体" w:cs="Times New Roman"/>
                <w:b/>
                <w:sz w:val="18"/>
                <w:szCs w:val="18"/>
              </w:rPr>
            </w:pPr>
            <w:r>
              <w:rPr>
                <w:rFonts w:eastAsia="宋体" w:cs="Times New Roman"/>
                <w:b/>
                <w:sz w:val="18"/>
                <w:szCs w:val="18"/>
              </w:rPr>
              <w:t>2 主要措施</w:t>
            </w:r>
          </w:p>
          <w:p>
            <w:pPr>
              <w:adjustRightInd w:val="0"/>
              <w:snapToGrid w:val="0"/>
              <w:contextualSpacing/>
              <w:jc w:val="left"/>
              <w:rPr>
                <w:rFonts w:eastAsia="宋体" w:cs="Times New Roman"/>
                <w:sz w:val="18"/>
                <w:szCs w:val="18"/>
              </w:rPr>
            </w:pPr>
            <w:r>
              <w:rPr>
                <w:rFonts w:eastAsia="宋体" w:cs="Times New Roman"/>
                <w:sz w:val="18"/>
                <w:szCs w:val="18"/>
              </w:rPr>
              <w:t>明确安全生产标准化工作，落实安全生产标准化管理责任，夯实安全工作基础，努力实现零事故目标。</w:t>
            </w:r>
          </w:p>
          <w:p>
            <w:pPr>
              <w:adjustRightInd w:val="0"/>
              <w:snapToGrid w:val="0"/>
              <w:contextualSpacing/>
              <w:jc w:val="left"/>
              <w:rPr>
                <w:rFonts w:eastAsia="宋体" w:cs="Times New Roman"/>
                <w:sz w:val="18"/>
                <w:szCs w:val="18"/>
              </w:rPr>
            </w:pPr>
            <w:r>
              <w:rPr>
                <w:rFonts w:eastAsia="宋体" w:cs="Times New Roman"/>
                <w:sz w:val="18"/>
                <w:szCs w:val="18"/>
              </w:rPr>
              <w:t>督促检查各级管理人员和员工要在思想上高度重视，充分认识开展安全生产标准化建设的重要性和必要性，并积极参与到标准化建设中，认真落实好安全生产标准化各项工作。</w:t>
            </w:r>
          </w:p>
          <w:p>
            <w:pPr>
              <w:adjustRightInd w:val="0"/>
              <w:snapToGrid w:val="0"/>
              <w:contextualSpacing/>
              <w:jc w:val="left"/>
              <w:rPr>
                <w:rFonts w:eastAsia="宋体" w:cs="Times New Roman"/>
                <w:sz w:val="18"/>
                <w:szCs w:val="18"/>
              </w:rPr>
            </w:pPr>
            <w:r>
              <w:rPr>
                <w:rFonts w:eastAsia="宋体" w:cs="Times New Roman"/>
                <w:sz w:val="18"/>
                <w:szCs w:val="18"/>
              </w:rPr>
              <w:t>严格执行各项工作程序，把握工作重点，加强生产过程的监控、监督，规范各级管理人员和员工队伍管理，认真搞好安全生产标准化的宣传、学习的工作，强化规章制度的管理和落实，从思想上真正有所提高。</w:t>
            </w:r>
          </w:p>
          <w:p>
            <w:pPr>
              <w:adjustRightInd w:val="0"/>
              <w:snapToGrid w:val="0"/>
              <w:contextualSpacing/>
              <w:jc w:val="left"/>
              <w:rPr>
                <w:rFonts w:eastAsia="宋体" w:cs="Times New Roman"/>
                <w:sz w:val="18"/>
                <w:szCs w:val="18"/>
              </w:rPr>
            </w:pPr>
            <w:r>
              <w:rPr>
                <w:rFonts w:eastAsia="宋体" w:cs="Times New Roman"/>
                <w:sz w:val="18"/>
                <w:szCs w:val="18"/>
              </w:rPr>
              <w:t>健全和完善单位、班组三级安全生产管理网络，加强对安全生产工作的领导。明确全年安全生产目标，采取有力措施，将安全生产责任逐级落实到每一位员工，形成纵向分级管理、横向分工负责、职责明晰的安全管理责任体系。</w:t>
            </w:r>
          </w:p>
          <w:p>
            <w:pPr>
              <w:adjustRightInd w:val="0"/>
              <w:snapToGrid w:val="0"/>
              <w:contextualSpacing/>
              <w:jc w:val="left"/>
              <w:rPr>
                <w:rFonts w:eastAsia="宋体" w:cs="Times New Roman"/>
                <w:sz w:val="18"/>
                <w:szCs w:val="18"/>
              </w:rPr>
            </w:pPr>
            <w:r>
              <w:rPr>
                <w:rFonts w:eastAsia="宋体" w:cs="Times New Roman"/>
                <w:sz w:val="18"/>
                <w:szCs w:val="18"/>
              </w:rPr>
              <w:t>进一步完善各岗位安全职责，分解落实标准化工作主体责任，将标准化工作目标逐级分解，一级抓一级，切实将工作任务、工作责任落实到部门、班组和各个岗位。与各部门签订“安全环保责任状”、“消防安全目标管理责任状”及承诺书，监督检查各岗位责任落实情况，做到责任明确，考核过硬，层层落实安全职责。</w:t>
            </w:r>
          </w:p>
          <w:p>
            <w:pPr>
              <w:adjustRightInd w:val="0"/>
              <w:snapToGrid w:val="0"/>
              <w:contextualSpacing/>
              <w:jc w:val="left"/>
              <w:rPr>
                <w:rFonts w:eastAsia="宋体" w:cs="Times New Roman"/>
                <w:sz w:val="18"/>
                <w:szCs w:val="18"/>
              </w:rPr>
            </w:pPr>
            <w:r>
              <w:rPr>
                <w:rFonts w:eastAsia="宋体" w:cs="Times New Roman"/>
                <w:sz w:val="18"/>
                <w:szCs w:val="18"/>
              </w:rPr>
              <w:t>加强特种作业操作证的管理，严格培训，认真考核，坚持新进入生产岗位的员工二级三级教育培训、考试，转岗、复工、培训考试，按规定期限组织特种作业人员参加特种作业复训换证培训工作，合格率100%。</w:t>
            </w:r>
          </w:p>
          <w:p>
            <w:pPr>
              <w:adjustRightInd w:val="0"/>
              <w:snapToGrid w:val="0"/>
              <w:contextualSpacing/>
              <w:jc w:val="left"/>
              <w:rPr>
                <w:rFonts w:eastAsia="宋体" w:cs="Times New Roman"/>
                <w:sz w:val="18"/>
                <w:szCs w:val="18"/>
              </w:rPr>
            </w:pPr>
            <w:r>
              <w:rPr>
                <w:rFonts w:eastAsia="宋体" w:cs="Times New Roman"/>
                <w:sz w:val="18"/>
                <w:szCs w:val="18"/>
              </w:rPr>
              <w:t>全员参加单位组织的危化品防护、救护器材、应急演练技能培训，力争全员学习培训考试合格率100%。</w:t>
            </w:r>
          </w:p>
          <w:p>
            <w:pPr>
              <w:adjustRightInd w:val="0"/>
              <w:snapToGrid w:val="0"/>
              <w:contextualSpacing/>
              <w:jc w:val="left"/>
              <w:rPr>
                <w:rFonts w:eastAsia="宋体" w:cs="Times New Roman"/>
                <w:sz w:val="18"/>
                <w:szCs w:val="18"/>
              </w:rPr>
            </w:pPr>
            <w:r>
              <w:rPr>
                <w:rFonts w:eastAsia="宋体" w:cs="Times New Roman"/>
                <w:sz w:val="18"/>
                <w:szCs w:val="18"/>
              </w:rPr>
              <w:t xml:space="preserve"> 单位安排组织有关安全生产活动，提高全员安全生产意识，遏制安全生产事故的发生。</w:t>
            </w:r>
          </w:p>
          <w:p>
            <w:pPr>
              <w:adjustRightInd w:val="0"/>
              <w:snapToGrid w:val="0"/>
              <w:contextualSpacing/>
              <w:jc w:val="left"/>
              <w:rPr>
                <w:rFonts w:eastAsia="宋体" w:cs="Times New Roman"/>
                <w:sz w:val="18"/>
                <w:szCs w:val="18"/>
              </w:rPr>
            </w:pPr>
            <w:r>
              <w:rPr>
                <w:rFonts w:eastAsia="宋体" w:cs="Times New Roman"/>
                <w:sz w:val="18"/>
                <w:szCs w:val="18"/>
              </w:rPr>
              <w:t>组织安全管理人员参加单位组织的安全管理人员资格证复审再教育、取证培训工作，做到持证上岗。</w:t>
            </w:r>
          </w:p>
          <w:p>
            <w:pPr>
              <w:adjustRightInd w:val="0"/>
              <w:snapToGrid w:val="0"/>
              <w:contextualSpacing/>
              <w:jc w:val="left"/>
              <w:rPr>
                <w:rFonts w:eastAsia="宋体" w:cs="Times New Roman"/>
                <w:sz w:val="18"/>
                <w:szCs w:val="18"/>
              </w:rPr>
            </w:pPr>
            <w:r>
              <w:rPr>
                <w:rFonts w:eastAsia="宋体" w:cs="Times New Roman"/>
                <w:sz w:val="18"/>
                <w:szCs w:val="18"/>
              </w:rPr>
              <w:t>.定期对生产现场进行检查，采取有效措施，做好安全检查工作，及时消除事故隐患。</w:t>
            </w:r>
          </w:p>
          <w:p>
            <w:pPr>
              <w:adjustRightInd w:val="0"/>
              <w:snapToGrid w:val="0"/>
              <w:contextualSpacing/>
              <w:jc w:val="left"/>
              <w:rPr>
                <w:rFonts w:eastAsia="宋体" w:cs="Times New Roman"/>
                <w:sz w:val="18"/>
                <w:szCs w:val="18"/>
              </w:rPr>
            </w:pPr>
            <w:r>
              <w:rPr>
                <w:rFonts w:eastAsia="宋体" w:cs="Times New Roman"/>
                <w:sz w:val="18"/>
                <w:szCs w:val="18"/>
              </w:rPr>
              <w:t>做好日常、周、月、季节性、专业性的安全检查工作，定专人、定措施、定期限按时完成隐患整改任务，并做好复查、跟踪、考核和记录。</w:t>
            </w:r>
          </w:p>
        </w:tc>
        <w:tc>
          <w:tcPr>
            <w:tcW w:w="3170" w:type="dxa"/>
          </w:tcPr>
          <w:p>
            <w:pPr>
              <w:adjustRightInd w:val="0"/>
              <w:snapToGrid w:val="0"/>
              <w:contextualSpacing/>
              <w:jc w:val="left"/>
              <w:rPr>
                <w:rFonts w:eastAsia="宋体" w:cs="Times New Roman"/>
                <w:sz w:val="18"/>
                <w:szCs w:val="18"/>
              </w:rPr>
            </w:pPr>
            <w:r>
              <w:rPr>
                <w:rFonts w:hint="eastAsia" w:eastAsia="宋体" w:cs="Times New Roman"/>
                <w:sz w:val="18"/>
                <w:szCs w:val="18"/>
              </w:rPr>
              <w:t>有针对性得对员工和变配电、供电设施、管道、仪表、特种设备、安全设施、消防器材、危化品储存装置等进行检查整改治理。</w:t>
            </w:r>
          </w:p>
          <w:p>
            <w:pPr>
              <w:adjustRightInd w:val="0"/>
              <w:snapToGrid w:val="0"/>
              <w:contextualSpacing/>
              <w:jc w:val="left"/>
              <w:rPr>
                <w:rFonts w:eastAsia="宋体" w:cs="Times New Roman"/>
                <w:sz w:val="18"/>
                <w:szCs w:val="18"/>
              </w:rPr>
            </w:pPr>
            <w:r>
              <w:rPr>
                <w:rFonts w:hint="eastAsia" w:eastAsia="宋体" w:cs="Times New Roman"/>
                <w:sz w:val="18"/>
                <w:szCs w:val="18"/>
              </w:rPr>
              <w:t>实施全过程风险管理，完善风险评价组织，加强作业活动的危险因素辨识和风险评价，切实落实各项风险控制措施，确保作业活动的风险在可承受的范围内。</w:t>
            </w:r>
          </w:p>
          <w:p>
            <w:pPr>
              <w:adjustRightInd w:val="0"/>
              <w:snapToGrid w:val="0"/>
              <w:contextualSpacing/>
              <w:jc w:val="left"/>
              <w:rPr>
                <w:rFonts w:eastAsia="宋体" w:cs="Times New Roman"/>
                <w:sz w:val="18"/>
                <w:szCs w:val="18"/>
              </w:rPr>
            </w:pPr>
            <w:r>
              <w:rPr>
                <w:rFonts w:hint="eastAsia" w:eastAsia="宋体" w:cs="Times New Roman"/>
                <w:sz w:val="18"/>
                <w:szCs w:val="18"/>
              </w:rPr>
              <w:t>各部门、班组要定期对所管辖的区域内的电气、仪表、设备、管道等进行检修维护作业活动进行风险分析，找出危险源、危险点，对照安全管理规程及有关规定制定防范措施，并认真组织实施。</w:t>
            </w:r>
          </w:p>
          <w:p>
            <w:pPr>
              <w:adjustRightInd w:val="0"/>
              <w:snapToGrid w:val="0"/>
              <w:contextualSpacing/>
              <w:jc w:val="left"/>
              <w:rPr>
                <w:rFonts w:eastAsia="宋体" w:cs="Times New Roman"/>
                <w:sz w:val="18"/>
                <w:szCs w:val="18"/>
              </w:rPr>
            </w:pPr>
            <w:r>
              <w:rPr>
                <w:rFonts w:eastAsia="宋体" w:cs="Times New Roman"/>
                <w:sz w:val="18"/>
                <w:szCs w:val="18"/>
              </w:rPr>
              <w:t>.按照安全生产标准化的要求，定期开展各类安全培训教育工作，抓好员工安全教育培训，营造安全和谐的安全生产氛围。</w:t>
            </w:r>
          </w:p>
          <w:p>
            <w:pPr>
              <w:adjustRightInd w:val="0"/>
              <w:snapToGrid w:val="0"/>
              <w:contextualSpacing/>
              <w:jc w:val="left"/>
              <w:rPr>
                <w:rFonts w:eastAsia="宋体" w:cs="Times New Roman"/>
                <w:sz w:val="18"/>
                <w:szCs w:val="18"/>
              </w:rPr>
            </w:pPr>
            <w:r>
              <w:rPr>
                <w:rFonts w:eastAsia="宋体" w:cs="Times New Roman"/>
                <w:sz w:val="18"/>
                <w:szCs w:val="18"/>
              </w:rPr>
              <w:t>加强安全生产法律法规知识宣传，认真组织各种安全法律和操作规程的培训学习。</w:t>
            </w:r>
          </w:p>
          <w:p>
            <w:pPr>
              <w:adjustRightInd w:val="0"/>
              <w:snapToGrid w:val="0"/>
              <w:contextualSpacing/>
              <w:jc w:val="left"/>
              <w:rPr>
                <w:rFonts w:eastAsia="宋体" w:cs="Times New Roman"/>
                <w:sz w:val="18"/>
                <w:szCs w:val="18"/>
              </w:rPr>
            </w:pPr>
            <w:r>
              <w:rPr>
                <w:rFonts w:eastAsia="宋体" w:cs="Times New Roman"/>
                <w:sz w:val="18"/>
                <w:szCs w:val="18"/>
              </w:rPr>
              <w:t>积极开展有关安全生产各种形式活动，充分利用班组安全活动、岗位练兵、撰写安全生产稿件等形式宣传安全知识，以达到安全生产工作能够深入人心的目的。</w:t>
            </w:r>
          </w:p>
          <w:p>
            <w:pPr>
              <w:adjustRightInd w:val="0"/>
              <w:snapToGrid w:val="0"/>
              <w:contextualSpacing/>
              <w:jc w:val="left"/>
              <w:rPr>
                <w:rFonts w:eastAsia="宋体" w:cs="Times New Roman"/>
                <w:sz w:val="18"/>
                <w:szCs w:val="18"/>
              </w:rPr>
            </w:pPr>
            <w:r>
              <w:rPr>
                <w:rFonts w:eastAsia="宋体" w:cs="Times New Roman"/>
                <w:sz w:val="18"/>
                <w:szCs w:val="18"/>
              </w:rPr>
              <w:t>做好各岗位员工经常岗位练兵、培训学习的工作。</w:t>
            </w:r>
          </w:p>
          <w:p>
            <w:pPr>
              <w:adjustRightInd w:val="0"/>
              <w:snapToGrid w:val="0"/>
              <w:contextualSpacing/>
              <w:jc w:val="left"/>
              <w:rPr>
                <w:rFonts w:eastAsia="宋体" w:cs="Times New Roman"/>
                <w:sz w:val="18"/>
                <w:szCs w:val="18"/>
              </w:rPr>
            </w:pPr>
            <w:r>
              <w:rPr>
                <w:rFonts w:eastAsia="宋体" w:cs="Times New Roman"/>
                <w:sz w:val="18"/>
                <w:szCs w:val="18"/>
              </w:rPr>
              <w:t>做好新进、转岗、复工人员的安全教育培训工作。</w:t>
            </w:r>
          </w:p>
          <w:p>
            <w:pPr>
              <w:adjustRightInd w:val="0"/>
              <w:snapToGrid w:val="0"/>
              <w:contextualSpacing/>
              <w:jc w:val="left"/>
              <w:rPr>
                <w:rFonts w:eastAsia="宋体" w:cs="Times New Roman"/>
                <w:sz w:val="18"/>
                <w:szCs w:val="18"/>
              </w:rPr>
            </w:pPr>
            <w:r>
              <w:rPr>
                <w:rFonts w:eastAsia="宋体" w:cs="Times New Roman"/>
                <w:sz w:val="18"/>
                <w:szCs w:val="18"/>
              </w:rPr>
              <w:t>组织员工参加单位举办的消防、急救等应急预案的演练活动，提高全员对事故的应急救援处置能力。</w:t>
            </w:r>
          </w:p>
          <w:p>
            <w:pPr>
              <w:adjustRightInd w:val="0"/>
              <w:snapToGrid w:val="0"/>
              <w:contextualSpacing/>
              <w:jc w:val="left"/>
              <w:rPr>
                <w:rFonts w:eastAsia="宋体" w:cs="Times New Roman"/>
                <w:sz w:val="18"/>
                <w:szCs w:val="18"/>
              </w:rPr>
            </w:pPr>
            <w:r>
              <w:rPr>
                <w:rFonts w:eastAsia="宋体" w:cs="Times New Roman"/>
                <w:sz w:val="18"/>
                <w:szCs w:val="18"/>
              </w:rPr>
              <w:t>加强反“三违”、“习惯性违章”等知识的宣传教育，加大现场反违章的监督、检查、考核力度。</w:t>
            </w:r>
          </w:p>
          <w:p>
            <w:pPr>
              <w:adjustRightInd w:val="0"/>
              <w:snapToGrid w:val="0"/>
              <w:contextualSpacing/>
              <w:jc w:val="left"/>
              <w:rPr>
                <w:rFonts w:eastAsia="宋体" w:cs="Times New Roman"/>
                <w:sz w:val="18"/>
                <w:szCs w:val="18"/>
              </w:rPr>
            </w:pPr>
            <w:r>
              <w:rPr>
                <w:rFonts w:eastAsia="宋体" w:cs="Times New Roman"/>
                <w:sz w:val="18"/>
                <w:szCs w:val="18"/>
              </w:rPr>
              <w:t>.健全完善安全生产规章制度，逐步推行安全生产规范化、岗位操作标准化、生产设备设施精细化管理。</w:t>
            </w:r>
          </w:p>
          <w:p>
            <w:pPr>
              <w:adjustRightInd w:val="0"/>
              <w:snapToGrid w:val="0"/>
              <w:contextualSpacing/>
              <w:jc w:val="left"/>
              <w:rPr>
                <w:rFonts w:eastAsia="宋体" w:cs="Times New Roman"/>
                <w:sz w:val="18"/>
                <w:szCs w:val="18"/>
              </w:rPr>
            </w:pPr>
            <w:r>
              <w:rPr>
                <w:rFonts w:eastAsia="宋体" w:cs="Times New Roman"/>
                <w:sz w:val="18"/>
                <w:szCs w:val="18"/>
              </w:rPr>
              <w:t>组织进行年度适用法律法规及其他要求、安全生产管理制度、操作技术规程、应急预案的符合性评审。</w:t>
            </w:r>
          </w:p>
          <w:p>
            <w:pPr>
              <w:adjustRightInd w:val="0"/>
              <w:snapToGrid w:val="0"/>
              <w:contextualSpacing/>
              <w:jc w:val="left"/>
              <w:rPr>
                <w:rFonts w:eastAsia="宋体" w:cs="Times New Roman"/>
                <w:sz w:val="18"/>
                <w:szCs w:val="18"/>
              </w:rPr>
            </w:pPr>
            <w:r>
              <w:rPr>
                <w:rFonts w:eastAsia="宋体" w:cs="Times New Roman"/>
                <w:sz w:val="18"/>
                <w:szCs w:val="18"/>
              </w:rPr>
              <w:t>加大对各类安全隐患整改项目的管理，做到有计划、有落实、有检查、有跟踪、有复查、有反馈、有奖惩考核。</w:t>
            </w:r>
          </w:p>
          <w:p>
            <w:pPr>
              <w:adjustRightInd w:val="0"/>
              <w:snapToGrid w:val="0"/>
              <w:contextualSpacing/>
              <w:jc w:val="left"/>
              <w:rPr>
                <w:rFonts w:eastAsia="宋体" w:cs="Times New Roman"/>
                <w:sz w:val="18"/>
                <w:szCs w:val="18"/>
              </w:rPr>
            </w:pPr>
            <w:r>
              <w:rPr>
                <w:rFonts w:eastAsia="宋体" w:cs="Times New Roman"/>
                <w:sz w:val="18"/>
                <w:szCs w:val="18"/>
              </w:rPr>
              <w:t>做好特种设备的定期维护、试验、检验等工作。</w:t>
            </w:r>
          </w:p>
          <w:p>
            <w:pPr>
              <w:adjustRightInd w:val="0"/>
              <w:snapToGrid w:val="0"/>
              <w:contextualSpacing/>
              <w:jc w:val="left"/>
              <w:rPr>
                <w:rFonts w:eastAsia="宋体" w:cs="Times New Roman"/>
                <w:sz w:val="18"/>
                <w:szCs w:val="18"/>
              </w:rPr>
            </w:pPr>
            <w:r>
              <w:rPr>
                <w:rFonts w:eastAsia="宋体" w:cs="Times New Roman"/>
                <w:sz w:val="18"/>
                <w:szCs w:val="18"/>
              </w:rPr>
              <w:t>按照安全设施标准化要求，完善生产现场对安全设备、设施防护罩、联锁装置、防护栏、安全警示标志的专项检查、维护。</w:t>
            </w:r>
          </w:p>
          <w:p>
            <w:pPr>
              <w:adjustRightInd w:val="0"/>
              <w:snapToGrid w:val="0"/>
              <w:contextualSpacing/>
              <w:jc w:val="left"/>
              <w:rPr>
                <w:rFonts w:eastAsia="宋体" w:cs="Times New Roman"/>
                <w:sz w:val="18"/>
                <w:szCs w:val="18"/>
              </w:rPr>
            </w:pPr>
            <w:r>
              <w:rPr>
                <w:rFonts w:eastAsia="宋体" w:cs="Times New Roman"/>
                <w:sz w:val="18"/>
                <w:szCs w:val="18"/>
              </w:rPr>
              <w:t>抓好消防安全管理工作</w:t>
            </w:r>
          </w:p>
          <w:p>
            <w:pPr>
              <w:adjustRightInd w:val="0"/>
              <w:snapToGrid w:val="0"/>
              <w:contextualSpacing/>
              <w:jc w:val="left"/>
              <w:rPr>
                <w:rFonts w:eastAsia="宋体" w:cs="Times New Roman"/>
                <w:sz w:val="18"/>
                <w:szCs w:val="18"/>
              </w:rPr>
            </w:pPr>
            <w:r>
              <w:rPr>
                <w:rFonts w:eastAsia="宋体" w:cs="Times New Roman"/>
                <w:sz w:val="18"/>
                <w:szCs w:val="18"/>
              </w:rPr>
              <w:t>根据工作重点要求，明确重点防火部位和区域，进一步加强动火作业的管理。</w:t>
            </w:r>
          </w:p>
        </w:tc>
      </w:tr>
    </w:tbl>
    <w:p>
      <w:pPr>
        <w:adjustRightInd w:val="0"/>
        <w:snapToGrid w:val="0"/>
        <w:spacing w:line="360" w:lineRule="auto"/>
        <w:ind w:firstLine="434" w:firstLineChars="200"/>
        <w:contextualSpacing/>
        <w:jc w:val="center"/>
        <w:rPr>
          <w:rFonts w:eastAsia="宋体" w:cs="Times New Roman"/>
          <w:sz w:val="21"/>
        </w:rPr>
      </w:pPr>
      <w:r>
        <w:rPr>
          <w:rFonts w:eastAsia="宋体" w:cs="Times New Roman"/>
          <w:sz w:val="21"/>
        </w:rPr>
        <w:t>图</w:t>
      </w:r>
      <w:r>
        <w:rPr>
          <w:rFonts w:hint="eastAsia" w:eastAsia="宋体" w:cs="Times New Roman"/>
          <w:sz w:val="21"/>
        </w:rPr>
        <w:t>12-4 安全生产标准化全年工作计划和措施范本</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2.安全生产标准化的评定结果要明确下列事项：</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（1）系统运行效果；</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 xml:space="preserve">（2）系统运行中出现的问题和缺陷，所采取的改进措施； </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 xml:space="preserve">（3）统计技术、信息技术等在系统中的使用情况和效果； </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（4）系统中各种资源的使用效果；</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（5）绩效监测系统的适宜性以及结果的准确性；</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（6）与相关方的关系。</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三、材料清单</w:t>
      </w:r>
    </w:p>
    <w:p>
      <w:pPr>
        <w:adjustRightInd w:val="0"/>
        <w:snapToGrid w:val="0"/>
        <w:spacing w:line="360" w:lineRule="auto"/>
        <w:ind w:firstLine="494" w:firstLineChars="200"/>
        <w:contextualSpacing/>
        <w:jc w:val="left"/>
        <w:rPr>
          <w:rFonts w:eastAsia="宋体" w:cs="Times New Roman"/>
          <w:sz w:val="24"/>
        </w:rPr>
      </w:pPr>
      <w:r>
        <w:rPr>
          <w:rFonts w:eastAsia="宋体" w:cs="Times New Roman"/>
          <w:sz w:val="24"/>
        </w:rPr>
        <w:t>1.安全生产标准化绩效评定的管理制度范本；2.安全生产纠错和预防措施管理方案；3.安全标准化实施评定报告示例；4.安全生产标准化全年工作计划和措施范本。</w:t>
      </w:r>
    </w:p>
    <w:p>
      <w:pPr>
        <w:pStyle w:val="4"/>
        <w:adjustRightInd w:val="0"/>
        <w:snapToGrid w:val="0"/>
        <w:spacing w:before="0" w:after="0" w:line="360" w:lineRule="auto"/>
        <w:ind w:firstLine="494"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四、引用的法规和标准</w:t>
      </w:r>
    </w:p>
    <w:p>
      <w:pPr>
        <w:adjustRightInd w:val="0"/>
        <w:snapToGrid w:val="0"/>
        <w:spacing w:line="360" w:lineRule="auto"/>
        <w:ind w:firstLine="494" w:firstLineChars="200"/>
        <w:contextualSpacing/>
        <w:jc w:val="left"/>
        <w:rPr>
          <w:rFonts w:eastAsia="宋体" w:cs="Times New Roman"/>
          <w:b/>
          <w:sz w:val="24"/>
        </w:rPr>
      </w:pPr>
      <w:r>
        <w:rPr>
          <w:rFonts w:eastAsia="宋体" w:cs="Times New Roman"/>
          <w:b/>
          <w:sz w:val="24"/>
        </w:rPr>
        <w:t>1、《中华人民共和国安全生产法》（2021修正）中华人民共和国主席令第88号；（2021年6月10日第十三届全国人民代表大会常务委员会第二十九次会议修订）</w:t>
      </w:r>
    </w:p>
    <w:p>
      <w:pPr>
        <w:adjustRightInd w:val="0"/>
        <w:snapToGrid w:val="0"/>
        <w:spacing w:line="360" w:lineRule="auto"/>
        <w:ind w:firstLine="494" w:firstLineChars="200"/>
        <w:contextualSpacing/>
        <w:jc w:val="left"/>
        <w:rPr>
          <w:rFonts w:eastAsia="宋体" w:cs="Times New Roman"/>
          <w:b/>
          <w:sz w:val="24"/>
        </w:rPr>
      </w:pPr>
      <w:r>
        <w:rPr>
          <w:rFonts w:eastAsia="宋体" w:cs="Times New Roman"/>
          <w:b/>
          <w:sz w:val="24"/>
        </w:rPr>
        <w:t>2、《中华人民共和国劳动法》主席令第28号；（2018年12月29日第十三届全国人民代表大会常务委员会第七次会议《关于修改〈中华人民共和国劳动法〉等七部法律的决定》第二次修正）</w:t>
      </w:r>
    </w:p>
    <w:p>
      <w:pPr>
        <w:pStyle w:val="2"/>
        <w:adjustRightInd w:val="0"/>
        <w:snapToGrid w:val="0"/>
        <w:spacing w:after="0" w:line="360" w:lineRule="auto"/>
        <w:ind w:firstLine="494" w:firstLineChars="200"/>
        <w:contextualSpacing/>
        <w:jc w:val="left"/>
        <w:rPr>
          <w:b/>
          <w:sz w:val="24"/>
          <w:szCs w:val="24"/>
        </w:rPr>
      </w:pPr>
      <w:r>
        <w:rPr>
          <w:b/>
          <w:sz w:val="24"/>
          <w:szCs w:val="24"/>
        </w:rPr>
        <w:t>3、《中华人民共和国消防法》（2021修正）中华人民共和国主席令第81号；（2021年4月29日第十三届全国人民代表大会常务委员会第二十八次会议修订）</w:t>
      </w:r>
    </w:p>
    <w:p>
      <w:pPr>
        <w:pStyle w:val="2"/>
        <w:adjustRightInd w:val="0"/>
        <w:snapToGrid w:val="0"/>
        <w:spacing w:after="0" w:line="360" w:lineRule="auto"/>
        <w:ind w:firstLine="494" w:firstLineChars="200"/>
        <w:contextualSpacing/>
        <w:jc w:val="left"/>
        <w:rPr>
          <w:b/>
          <w:sz w:val="24"/>
          <w:szCs w:val="24"/>
        </w:rPr>
      </w:pPr>
      <w:r>
        <w:rPr>
          <w:b/>
          <w:sz w:val="24"/>
          <w:szCs w:val="24"/>
        </w:rPr>
        <w:t>4、《中华人民共和国职业病防治法》（2018修正）中华人民共和国主席令第24号；（2018年12月29日第十三届全国人民代表大会常务委员会第七次会议修订）</w:t>
      </w:r>
    </w:p>
    <w:p>
      <w:pPr>
        <w:pStyle w:val="2"/>
        <w:adjustRightInd w:val="0"/>
        <w:snapToGrid w:val="0"/>
        <w:spacing w:after="0" w:line="360" w:lineRule="auto"/>
        <w:ind w:firstLine="494" w:firstLineChars="200"/>
        <w:contextualSpacing/>
        <w:jc w:val="left"/>
        <w:rPr>
          <w:b/>
          <w:sz w:val="24"/>
          <w:szCs w:val="24"/>
        </w:rPr>
      </w:pPr>
      <w:r>
        <w:rPr>
          <w:b/>
          <w:sz w:val="24"/>
          <w:szCs w:val="24"/>
        </w:rPr>
        <w:t>5、《中华人民共和国突发事件应对法》中华人民共和国主席令第69号；（2007年8月30日第十届全国人民代表大会常务委员会第二十九次会议于通过，2020年04月26日修改工作启动）</w:t>
      </w:r>
    </w:p>
    <w:p>
      <w:pPr>
        <w:pStyle w:val="2"/>
        <w:adjustRightInd w:val="0"/>
        <w:snapToGrid w:val="0"/>
        <w:spacing w:after="0" w:line="360" w:lineRule="auto"/>
        <w:ind w:firstLine="494" w:firstLineChars="200"/>
        <w:contextualSpacing/>
        <w:jc w:val="left"/>
        <w:rPr>
          <w:b/>
          <w:sz w:val="24"/>
          <w:szCs w:val="24"/>
        </w:rPr>
      </w:pPr>
      <w:r>
        <w:rPr>
          <w:b/>
          <w:sz w:val="24"/>
          <w:szCs w:val="24"/>
        </w:rPr>
        <w:t>6、《安全生产监督罚款管理暂行办法》安监总局令第15号；（2004.11.3实施）</w:t>
      </w:r>
    </w:p>
    <w:p>
      <w:pPr>
        <w:pStyle w:val="2"/>
        <w:adjustRightInd w:val="0"/>
        <w:snapToGrid w:val="0"/>
        <w:spacing w:after="0" w:line="360" w:lineRule="auto"/>
        <w:ind w:firstLine="494" w:firstLineChars="200"/>
        <w:contextualSpacing/>
        <w:jc w:val="left"/>
        <w:rPr>
          <w:b/>
          <w:sz w:val="24"/>
          <w:szCs w:val="24"/>
        </w:rPr>
      </w:pPr>
      <w:r>
        <w:rPr>
          <w:b/>
          <w:sz w:val="24"/>
          <w:szCs w:val="24"/>
        </w:rPr>
        <w:t>7、《企业安全生产费用提取和使用管理办法》财企〔2012〕16号；（2012.2.14实施）</w:t>
      </w:r>
    </w:p>
    <w:p>
      <w:pPr>
        <w:adjustRightInd w:val="0"/>
        <w:snapToGrid w:val="0"/>
        <w:spacing w:line="360" w:lineRule="auto"/>
        <w:ind w:firstLine="494" w:firstLineChars="200"/>
        <w:contextualSpacing/>
        <w:jc w:val="left"/>
        <w:rPr>
          <w:rFonts w:eastAsia="宋体" w:cs="Times New Roman"/>
          <w:b/>
          <w:sz w:val="24"/>
        </w:rPr>
      </w:pPr>
      <w:r>
        <w:rPr>
          <w:rFonts w:eastAsia="宋体" w:cs="Times New Roman"/>
          <w:b/>
          <w:sz w:val="24"/>
        </w:rPr>
        <w:t>8、《安全生产事故隐患排查治理暂行规定》国家安监总局令第16号；（2008.2.1实施）</w:t>
      </w:r>
    </w:p>
    <w:p>
      <w:pPr>
        <w:adjustRightInd w:val="0"/>
        <w:snapToGrid w:val="0"/>
        <w:spacing w:line="360" w:lineRule="auto"/>
        <w:ind w:firstLine="494" w:firstLineChars="200"/>
        <w:contextualSpacing/>
        <w:jc w:val="left"/>
        <w:rPr>
          <w:rFonts w:eastAsia="宋体" w:cs="Times New Roman"/>
          <w:b/>
          <w:sz w:val="24"/>
        </w:rPr>
      </w:pPr>
      <w:r>
        <w:rPr>
          <w:rFonts w:eastAsia="宋体" w:cs="Times New Roman"/>
          <w:b/>
          <w:sz w:val="24"/>
        </w:rPr>
        <w:t>9、AQ/T 9004-2008《企业安全文化建设导则》（2009.1.1实施）</w:t>
      </w:r>
    </w:p>
    <w:p>
      <w:pPr>
        <w:pStyle w:val="2"/>
        <w:adjustRightInd w:val="0"/>
        <w:snapToGrid w:val="0"/>
        <w:spacing w:after="0" w:line="360" w:lineRule="auto"/>
        <w:ind w:firstLine="494" w:firstLineChars="200"/>
        <w:contextualSpacing/>
        <w:jc w:val="left"/>
        <w:rPr>
          <w:b/>
          <w:sz w:val="24"/>
          <w:szCs w:val="24"/>
        </w:rPr>
      </w:pPr>
      <w:r>
        <w:rPr>
          <w:b/>
          <w:sz w:val="24"/>
          <w:szCs w:val="24"/>
        </w:rPr>
        <w:t>10、AQ/T 9006-2010《企业安全生产标准化基本规范》（2010.6.1实施）</w:t>
      </w:r>
    </w:p>
    <w:p>
      <w:pPr>
        <w:pStyle w:val="3"/>
        <w:adjustRightInd w:val="0"/>
        <w:snapToGrid w:val="0"/>
        <w:spacing w:before="0" w:after="0" w:line="360" w:lineRule="auto"/>
        <w:ind w:firstLine="494" w:firstLineChars="200"/>
        <w:contextualSpacing/>
        <w:jc w:val="left"/>
        <w:outlineLvl w:val="9"/>
        <w:rPr>
          <w:rFonts w:eastAsia="宋体" w:cs="Times New Roman"/>
          <w:sz w:val="24"/>
          <w:szCs w:val="24"/>
        </w:rPr>
        <w:sectPr>
          <w:pgSz w:w="8391" w:h="11907"/>
          <w:pgMar w:top="1418" w:right="1134" w:bottom="1077" w:left="1134" w:header="851" w:footer="992" w:gutter="0"/>
          <w:cols w:space="0" w:num="1"/>
          <w:docGrid w:type="linesAndChars" w:linePitch="449" w:charSpace="1547"/>
        </w:sectPr>
      </w:pPr>
      <w:bookmarkStart w:id="76" w:name="_Toc11995"/>
    </w:p>
    <w:p>
      <w:pPr>
        <w:adjustRightInd w:val="0"/>
        <w:snapToGrid w:val="0"/>
        <w:spacing w:line="360" w:lineRule="auto"/>
        <w:contextualSpacing/>
        <w:jc w:val="center"/>
        <w:outlineLvl w:val="0"/>
        <w:rPr>
          <w:rFonts w:eastAsia="黑体" w:cs="Times New Roman"/>
          <w:sz w:val="28"/>
          <w:szCs w:val="28"/>
        </w:rPr>
      </w:pPr>
      <w:bookmarkStart w:id="77" w:name="_Toc9138"/>
      <w:r>
        <w:rPr>
          <w:rFonts w:eastAsia="黑体" w:cs="Times New Roman"/>
          <w:sz w:val="28"/>
          <w:szCs w:val="28"/>
        </w:rPr>
        <w:t>第十三章 其他</w:t>
      </w:r>
      <w:bookmarkEnd w:id="76"/>
      <w:bookmarkEnd w:id="77"/>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（企业落实安全生产主体责任检查要点20条第16、17条）</w:t>
      </w:r>
    </w:p>
    <w:p>
      <w:pPr>
        <w:pStyle w:val="4"/>
        <w:adjustRightInd w:val="0"/>
        <w:snapToGrid w:val="0"/>
        <w:spacing w:before="0" w:after="0" w:line="360" w:lineRule="auto"/>
        <w:ind w:firstLine="482"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一、复工复产安全管理</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企业应加强复工复产的安全管理；</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复工复产前，应严格按照国家及行业有关标准和规定，制定复工复产方案，全面分析研判安全风险、深入开展安全生产检查、全面加强员工安全培训、严格落实安全保障措施。尤其要对生产系统特别是管道、阀门、仪表等机械设备，通风除尘、污水处理等处理设施，应急报警、放射防护、防雷防爆装置等保护设施进行全面检查。</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企业在复工复产前应制作复工复产</w:t>
      </w:r>
      <w:r>
        <w:rPr>
          <w:rFonts w:hint="eastAsia" w:eastAsia="宋体" w:cs="Times New Roman"/>
          <w:sz w:val="24"/>
        </w:rPr>
        <w:t>检查表，应按表开展安全生产检查，检查表应至少含有以下内容：</w:t>
      </w:r>
    </w:p>
    <w:p>
      <w:pPr>
        <w:pStyle w:val="2"/>
        <w:adjustRightInd w:val="0"/>
        <w:snapToGrid w:val="0"/>
        <w:spacing w:after="0" w:line="360" w:lineRule="auto"/>
        <w:contextualSpacing/>
        <w:jc w:val="left"/>
        <w:rPr>
          <w:sz w:val="24"/>
          <w:szCs w:val="24"/>
        </w:rPr>
      </w:pPr>
      <w:r>
        <w:rPr>
          <w:sz w:val="24"/>
          <w:szCs w:val="24"/>
        </w:rPr>
        <w:drawing>
          <wp:inline distT="0" distB="0" distL="0" distR="0">
            <wp:extent cx="3888105" cy="2867025"/>
            <wp:effectExtent l="0" t="0" r="0" b="9525"/>
            <wp:docPr id="31037" name="图片 3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7" name="图片 31037"/>
                    <pic:cNvPicPr>
                      <a:picLocks noChangeAspect="1"/>
                    </pic:cNvPicPr>
                  </pic:nvPicPr>
                  <pic:blipFill>
                    <a:blip r:embed="rId185"/>
                    <a:srcRect l="8934" t="2942" r="3645" b="6084"/>
                    <a:stretch>
                      <a:fillRect/>
                    </a:stretch>
                  </pic:blipFill>
                  <pic:spPr>
                    <a:xfrm>
                      <a:off x="0" y="0"/>
                      <a:ext cx="3888105" cy="2867397"/>
                    </a:xfrm>
                    <a:prstGeom prst="rect">
                      <a:avLst/>
                    </a:prstGeom>
                    <a:ln>
                      <a:noFill/>
                    </a:ln>
                  </pic:spPr>
                </pic:pic>
              </a:graphicData>
            </a:graphic>
          </wp:inline>
        </w:drawing>
      </w:r>
    </w:p>
    <w:p>
      <w:pPr>
        <w:adjustRightInd w:val="0"/>
        <w:snapToGrid w:val="0"/>
        <w:spacing w:line="360" w:lineRule="auto"/>
        <w:ind w:firstLine="420" w:firstLineChars="200"/>
        <w:contextualSpacing/>
        <w:jc w:val="center"/>
        <w:rPr>
          <w:rFonts w:eastAsia="宋体" w:cs="Times New Roman"/>
          <w:sz w:val="21"/>
        </w:rPr>
      </w:pPr>
      <w:r>
        <w:rPr>
          <w:rFonts w:hint="eastAsia" w:eastAsia="宋体" w:cs="Times New Roman"/>
          <w:sz w:val="21"/>
        </w:rPr>
        <w:t>图13-1 复产复工安全检查表示例</w:t>
      </w:r>
    </w:p>
    <w:p>
      <w:pPr>
        <w:pStyle w:val="4"/>
        <w:adjustRightInd w:val="0"/>
        <w:snapToGrid w:val="0"/>
        <w:spacing w:before="0" w:after="0" w:line="360" w:lineRule="auto"/>
        <w:ind w:firstLine="482"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二、智能制造水平</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企业应严格落实安全技术设备设施改造等支持政策，加大淘汰落后力度，及时更新推广应用先进适用安全生产工艺和技术装备，积极运用智能化、信息化手段加强安全生产，提高安全生产保障能力；</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1.使用智能化、信息化手段加强安全生产。</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2.严禁使用国家和省明令淘汰的危及生产安全的设备及工艺，及时淘汰更新陈旧落后的设备及工艺。</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释义：</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1.淘汰落后安全技术装备目录</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（1）详见</w:t>
      </w:r>
      <w:r>
        <w:rPr>
          <w:rFonts w:eastAsia="宋体" w:cs="Times New Roman"/>
          <w:b/>
          <w:sz w:val="24"/>
        </w:rPr>
        <w:t>《国家安全监管总局关于印发淘汰落后安全技术装备目录（2015年第一批）的通知》（安监总科技〔2015〕75号）</w:t>
      </w:r>
      <w:r>
        <w:rPr>
          <w:rFonts w:eastAsia="宋体" w:cs="Times New Roman"/>
          <w:sz w:val="24"/>
        </w:rPr>
        <w:t>附件淘汰落后安全技术装备目录。</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（2）详见</w:t>
      </w:r>
      <w:r>
        <w:rPr>
          <w:rFonts w:eastAsia="宋体" w:cs="Times New Roman"/>
          <w:b/>
          <w:sz w:val="24"/>
        </w:rPr>
        <w:t>《国家安全监管总局关于印发淘汰落后安全技术工艺、设备目录（2016年）的通知》（安监总科技〔2016〕137号）</w:t>
      </w:r>
      <w:r>
        <w:rPr>
          <w:rFonts w:eastAsia="宋体" w:cs="Times New Roman"/>
          <w:sz w:val="24"/>
        </w:rPr>
        <w:t>附件淘汰落后安全技术装备目录。</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（3）详见</w:t>
      </w:r>
      <w:r>
        <w:rPr>
          <w:rFonts w:eastAsia="宋体" w:cs="Times New Roman"/>
          <w:b/>
          <w:sz w:val="24"/>
        </w:rPr>
        <w:t>《淘汰落后与推广先进安全技术装备目录管理办法（2017年）》</w:t>
      </w:r>
      <w:r>
        <w:rPr>
          <w:rFonts w:eastAsia="宋体" w:cs="Times New Roman"/>
          <w:sz w:val="24"/>
        </w:rPr>
        <w:t>附件淘汰落后安全技术装备目录。</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（4）详见</w:t>
      </w:r>
      <w:r>
        <w:rPr>
          <w:rFonts w:eastAsia="宋体" w:cs="Times New Roman"/>
          <w:b/>
          <w:sz w:val="24"/>
        </w:rPr>
        <w:t>《淘汰落后危险化学品安全生产工艺技术设备目录（第一批）》的通知（应急厅〔2020〕38号）</w:t>
      </w:r>
      <w:r>
        <w:rPr>
          <w:rFonts w:eastAsia="宋体" w:cs="Times New Roman"/>
          <w:sz w:val="24"/>
        </w:rPr>
        <w:t>附件淘汰落后危险化学品安全生产工艺技术设备目录。</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4.推广先进安全技术装备目录</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详见</w:t>
      </w:r>
      <w:r>
        <w:rPr>
          <w:rFonts w:eastAsia="宋体" w:cs="Times New Roman"/>
          <w:b/>
          <w:sz w:val="24"/>
        </w:rPr>
        <w:t>《淘汰落后与推广先进安全技术装备目录管理办法（2017年）》</w:t>
      </w:r>
      <w:r>
        <w:rPr>
          <w:rFonts w:eastAsia="宋体" w:cs="Times New Roman"/>
          <w:sz w:val="24"/>
        </w:rPr>
        <w:t>附件推广先进安全技术装备目录。</w:t>
      </w:r>
    </w:p>
    <w:p>
      <w:pPr>
        <w:pStyle w:val="4"/>
        <w:adjustRightInd w:val="0"/>
        <w:snapToGrid w:val="0"/>
        <w:spacing w:before="0" w:after="0" w:line="360" w:lineRule="auto"/>
        <w:ind w:firstLine="482"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三、材料清单</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1.复产复工安全检查表。</w:t>
      </w:r>
    </w:p>
    <w:p>
      <w:pPr>
        <w:pStyle w:val="4"/>
        <w:adjustRightInd w:val="0"/>
        <w:snapToGrid w:val="0"/>
        <w:spacing w:before="0" w:after="0" w:line="360" w:lineRule="auto"/>
        <w:ind w:firstLine="482" w:firstLineChars="200"/>
        <w:contextualSpacing/>
        <w:jc w:val="left"/>
        <w:rPr>
          <w:rFonts w:ascii="Times New Roman" w:hAnsi="Times New Roman" w:eastAsia="宋体" w:cs="Times New Roman"/>
          <w:bCs w:val="0"/>
          <w:sz w:val="24"/>
          <w:szCs w:val="24"/>
        </w:rPr>
      </w:pPr>
      <w:r>
        <w:rPr>
          <w:rFonts w:ascii="Times New Roman" w:hAnsi="Times New Roman" w:eastAsia="宋体" w:cs="Times New Roman"/>
          <w:bCs w:val="0"/>
          <w:sz w:val="24"/>
          <w:szCs w:val="24"/>
        </w:rPr>
        <w:t>四、引用的法规和标准</w:t>
      </w:r>
    </w:p>
    <w:p>
      <w:pPr>
        <w:adjustRightInd w:val="0"/>
        <w:snapToGrid w:val="0"/>
        <w:spacing w:line="360" w:lineRule="auto"/>
        <w:ind w:firstLine="482" w:firstLineChars="200"/>
        <w:contextualSpacing/>
        <w:jc w:val="left"/>
        <w:rPr>
          <w:rFonts w:eastAsia="宋体" w:cs="Times New Roman"/>
          <w:b/>
          <w:sz w:val="24"/>
        </w:rPr>
      </w:pPr>
      <w:r>
        <w:rPr>
          <w:rFonts w:eastAsia="宋体" w:cs="Times New Roman"/>
          <w:b/>
          <w:sz w:val="24"/>
        </w:rPr>
        <w:t>1、《国家安全监管总局关于印发淘汰落后安全技术装备目录（2015年第一批）的通知》（安监总科技〔2015〕75号）</w:t>
      </w:r>
    </w:p>
    <w:p>
      <w:pPr>
        <w:adjustRightInd w:val="0"/>
        <w:snapToGrid w:val="0"/>
        <w:spacing w:line="360" w:lineRule="auto"/>
        <w:ind w:firstLine="482" w:firstLineChars="200"/>
        <w:contextualSpacing/>
        <w:jc w:val="left"/>
        <w:rPr>
          <w:rFonts w:eastAsia="宋体" w:cs="Times New Roman"/>
          <w:b/>
          <w:sz w:val="24"/>
        </w:rPr>
      </w:pPr>
      <w:r>
        <w:rPr>
          <w:rFonts w:eastAsia="宋体" w:cs="Times New Roman"/>
          <w:b/>
          <w:sz w:val="24"/>
        </w:rPr>
        <w:t>2、《国家安全监管总局关于印发淘汰落后安全技术工艺、设备目录（2016年）的通知》（安监总科技〔2016〕137号）</w:t>
      </w:r>
    </w:p>
    <w:p>
      <w:pPr>
        <w:adjustRightInd w:val="0"/>
        <w:snapToGrid w:val="0"/>
        <w:spacing w:line="360" w:lineRule="auto"/>
        <w:ind w:firstLine="482" w:firstLineChars="200"/>
        <w:contextualSpacing/>
        <w:jc w:val="left"/>
        <w:rPr>
          <w:rFonts w:eastAsia="宋体" w:cs="Times New Roman"/>
          <w:b/>
          <w:sz w:val="24"/>
        </w:rPr>
      </w:pPr>
      <w:r>
        <w:rPr>
          <w:rFonts w:eastAsia="宋体" w:cs="Times New Roman"/>
          <w:b/>
          <w:sz w:val="24"/>
        </w:rPr>
        <w:t>3、《淘汰落后与推广先进安全技术装备目录管理办法（2017年）》</w:t>
      </w:r>
    </w:p>
    <w:p>
      <w:pPr>
        <w:adjustRightInd w:val="0"/>
        <w:snapToGrid w:val="0"/>
        <w:spacing w:line="360" w:lineRule="auto"/>
        <w:ind w:firstLine="482" w:firstLineChars="200"/>
        <w:contextualSpacing/>
        <w:jc w:val="left"/>
        <w:rPr>
          <w:rFonts w:eastAsia="宋体" w:cs="Times New Roman"/>
          <w:b/>
          <w:sz w:val="24"/>
        </w:rPr>
      </w:pPr>
      <w:r>
        <w:rPr>
          <w:rFonts w:eastAsia="宋体" w:cs="Times New Roman"/>
          <w:b/>
          <w:sz w:val="24"/>
        </w:rPr>
        <w:t>4、《淘汰落后危险化学品安全生产工艺技术设备目录（第一批）》的通知（应急厅〔2020〕38号）</w:t>
      </w:r>
    </w:p>
    <w:p>
      <w:pPr>
        <w:pStyle w:val="2"/>
        <w:tabs>
          <w:tab w:val="left" w:pos="709"/>
        </w:tabs>
        <w:adjustRightInd w:val="0"/>
        <w:snapToGrid w:val="0"/>
        <w:spacing w:after="0" w:line="360" w:lineRule="auto"/>
        <w:contextualSpacing/>
        <w:jc w:val="left"/>
        <w:rPr>
          <w:sz w:val="24"/>
          <w:szCs w:val="24"/>
        </w:rPr>
      </w:pPr>
    </w:p>
    <w:p>
      <w:pPr>
        <w:adjustRightInd w:val="0"/>
        <w:snapToGrid w:val="0"/>
        <w:spacing w:line="360" w:lineRule="auto"/>
        <w:ind w:firstLine="480" w:firstLineChars="200"/>
        <w:contextualSpacing/>
        <w:jc w:val="left"/>
        <w:rPr>
          <w:rFonts w:eastAsia="宋体" w:cs="Times New Roman"/>
          <w:sz w:val="24"/>
        </w:rPr>
        <w:sectPr>
          <w:pgSz w:w="8391" w:h="11906"/>
          <w:pgMar w:top="1418" w:right="1134" w:bottom="1077" w:left="1134" w:header="851" w:footer="992" w:gutter="0"/>
          <w:cols w:space="0" w:num="1"/>
          <w:docGrid w:linePitch="449" w:charSpace="1547"/>
        </w:sectPr>
      </w:pPr>
    </w:p>
    <w:p>
      <w:pPr>
        <w:adjustRightInd w:val="0"/>
        <w:snapToGrid w:val="0"/>
        <w:spacing w:line="360" w:lineRule="auto"/>
        <w:contextualSpacing/>
        <w:jc w:val="center"/>
        <w:outlineLvl w:val="0"/>
        <w:rPr>
          <w:rFonts w:eastAsia="黑体" w:cs="Times New Roman"/>
          <w:sz w:val="28"/>
          <w:szCs w:val="28"/>
        </w:rPr>
      </w:pPr>
      <w:bookmarkStart w:id="78" w:name="_Toc30730"/>
      <w:bookmarkStart w:id="79" w:name="_Toc92370386"/>
      <w:bookmarkStart w:id="80" w:name="_Toc26341"/>
      <w:r>
        <w:rPr>
          <w:rFonts w:eastAsia="黑体" w:cs="Times New Roman"/>
          <w:sz w:val="28"/>
          <w:szCs w:val="28"/>
        </w:rPr>
        <w:t xml:space="preserve">第十四章 </w:t>
      </w:r>
      <w:bookmarkEnd w:id="78"/>
      <w:r>
        <w:rPr>
          <w:rFonts w:eastAsia="黑体" w:cs="Times New Roman"/>
          <w:sz w:val="28"/>
          <w:szCs w:val="28"/>
        </w:rPr>
        <w:t>安全可视化</w:t>
      </w:r>
      <w:bookmarkEnd w:id="79"/>
      <w:bookmarkEnd w:id="80"/>
    </w:p>
    <w:p>
      <w:pPr>
        <w:adjustRightInd w:val="0"/>
        <w:snapToGrid w:val="0"/>
        <w:spacing w:line="360" w:lineRule="auto"/>
        <w:ind w:firstLine="482" w:firstLineChars="200"/>
        <w:contextualSpacing/>
        <w:jc w:val="left"/>
        <w:rPr>
          <w:rFonts w:eastAsia="宋体" w:cs="Times New Roman"/>
          <w:b/>
          <w:bCs/>
          <w:sz w:val="24"/>
        </w:rPr>
      </w:pPr>
      <w:r>
        <w:rPr>
          <w:rFonts w:eastAsia="宋体" w:cs="Times New Roman"/>
          <w:b/>
          <w:bCs/>
          <w:sz w:val="24"/>
        </w:rPr>
        <w:t>一、安全可视化的理念</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（一）定义</w:t>
      </w:r>
      <w:bookmarkStart w:id="81" w:name="_Hlk87004909"/>
      <w:bookmarkStart w:id="82" w:name="_Hlk87005077"/>
      <w:r>
        <w:rPr>
          <w:rFonts w:eastAsia="宋体" w:cs="Times New Roman"/>
          <w:sz w:val="24"/>
        </w:rPr>
        <w:t>：利用形象直观、色彩适宜的各种视觉感知信息来组织现场生产活动，达到提高安全绩效目的的一种管理方式。它是以视觉信号为基本手段，以公开化为基本原则，尽可能地将安全管理要求和意图让大家看得见，借以推动自主管理、自我控制。所以安全可视化是一种公开化的管理方式，也可称之为“看得见的安全管理”。</w:t>
      </w:r>
      <w:bookmarkEnd w:id="81"/>
      <w:bookmarkEnd w:id="82"/>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二）目的：目视化管理是现场管理的一个重要管理改善工具，是能够使现场所发生的问题一目了然，并能够尽早采取相应对策的精益管理机制或者方法，通常会结合6S管理、看板管理一同进行，根据生产现场情况开展综合性的现场管理改善工作。</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主要目的：</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1.判断标准一目了然；</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2.防止人为失误；</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3.事先预防各类隐患和浪费。</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（三）特征</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1.一目了然，传达有关安全必备的信息；</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2.触目惊心，提醒或警告有关者，以免受到伤害；</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3.见贤思齐，提供有关者现成的好榜样，以便作为模范，而达到效仿的目的。</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（四）基本规范</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1.统一：既实施标准化，消除五花八门的杂乱现象；</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2.鲜明：即各种视觉显示信号要清晰，位置适宜，现场人员都能看得见、看得清；</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3.实用：即不摆花架子，少花钱、多办事，讲究实效；</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4.严格：即现场所有人员都必须严格遵守和执行有关规定，有错必纠，赏罚分明；</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5.简约：即各种视觉显示信号应一目了然。</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（五）参照的主要规范要求</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1.《安全标志及其使用导则》（GB2894- 2008）</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2.《图形符号 安全色和安全标志》（GB/T 2893.5-2020）</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3.《工业管道的基本识别色、识别符号和安全标识》（GB 7231-2003）</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4.《工业企业厂内铁路、道路运输安全规程》（GB4387-2008）</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5.《企业安全操作规程编制指南》（DB32/T 3616-2019）</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6.《企业安全生产标准化基本规范》（GB/T 33000-2016）</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7.《化学品作业场所安全警示标志规范》（AQ 3047-2013）</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8.《消防安全标志设置要求》（GB 15630-1995）</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9.《化工企业安全卫生设计规定》（HG20571—95）</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10.《消防安全标识 第1部分：标志》（GB13495.1-2015）</w:t>
      </w:r>
    </w:p>
    <w:p>
      <w:pPr>
        <w:adjustRightInd w:val="0"/>
        <w:snapToGrid w:val="0"/>
        <w:spacing w:line="360" w:lineRule="auto"/>
        <w:ind w:firstLine="482" w:firstLineChars="200"/>
        <w:contextualSpacing/>
        <w:jc w:val="left"/>
        <w:rPr>
          <w:rFonts w:eastAsia="宋体" w:cs="Times New Roman"/>
          <w:b/>
          <w:bCs/>
          <w:sz w:val="24"/>
        </w:rPr>
      </w:pPr>
      <w:r>
        <w:rPr>
          <w:rFonts w:eastAsia="宋体" w:cs="Times New Roman"/>
          <w:b/>
          <w:bCs/>
          <w:sz w:val="24"/>
        </w:rPr>
        <w:t>二、安全可视化创建步骤和方法</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（一）清洁清扫、整理整顿：对整个区域进行划分，设备设施定置定位，报废品、合格品和不良品等物流定置定位，安全通道畅通等，整个车间干净、整洁、有序，以便下一步安全可视化的实施。</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二）识别安全可视化的对象：组成安全可视化工作小组（由安全、生产、设备、环境等专业人员组成），带上相机，从进企业的大门开始，对厂区、道路、办公楼、食堂、宿舍、车间、仓库、现场设备设施装置等，从安全方面进行诊断，有可视化的但不符合要求（国标或行标）、应有没有的、有但需改进的（或存在问题的）。现场诊断、识别后，小组将图片进行评审，确定必须要做的安全可视化对象，形成《安全可视化清单》（清单内容包括：部门、地点、安全可视化名称、数量、安全可视化的内容、计划制作日期、内制或外协、责任人、预算、进度及备注等，清单用excel），明确要做的先后顺序、数量，以及初步预算。</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三）安全可视化设计与制作：设计的依据，必须符合本企业安全可视化适用的国标、行标、地标、企标（提示：当企标与行业或国标冲突时，以国标为准），所有设计出图都应逐一评审，评审设计图的内容（内容应准确，充分考虑此安全可视化是给谁看的）、图形标志（必须规范应用标准）、尺寸、字体、颜色、材料、预计安装的位置等，原则是：符合标准、内容准确、设计美观、用材合理（材料与费用关系很大）。</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四）按设计图对现场安全可视化进行实施：实施时注意安全的位置、高度、牢固性，应设置在相应的且醒目的位置，方便人员看。安装后，应及时拍图片，安全可视化整体的图片，以及局部的图片，作为安全可视化标准的实例素材。</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五）形成安全可视化标准并做好培训：将前面的设计稿和安装后的图片，梳理编制，形成安全可视化标准，安全可视化标准应包括：文件管理栏、标题、规格、材质、色彩、字体、图例、实例等，见下图。将制造好的安全可视化，根据内容，对相应的岗位培训到位，让人员明白、熟悉安全可视化的目的和用途，并强调哪些是必须遵守的。</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（六）形成安全可视化的定期检查制度与改进：将安全可视化的维持及人员执行情况，纳入企业的日常检查与考核，让安全可视化标准落到实处，发挥安全可视化的作用，实现、达到安全可视化的目的。</w:t>
      </w:r>
    </w:p>
    <w:p>
      <w:pPr>
        <w:adjustRightInd w:val="0"/>
        <w:snapToGrid w:val="0"/>
        <w:spacing w:line="360" w:lineRule="auto"/>
        <w:ind w:firstLine="482" w:firstLineChars="200"/>
        <w:contextualSpacing/>
        <w:jc w:val="left"/>
        <w:rPr>
          <w:rFonts w:eastAsia="宋体" w:cs="Times New Roman"/>
          <w:b/>
          <w:bCs/>
          <w:sz w:val="24"/>
        </w:rPr>
      </w:pPr>
      <w:r>
        <w:rPr>
          <w:rFonts w:eastAsia="宋体" w:cs="Times New Roman"/>
          <w:b/>
          <w:bCs/>
          <w:sz w:val="24"/>
        </w:rPr>
        <w:t>三、安全标志标识与地标线</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一）安全标识：用以表达特定安全信息的标志，由图形符号、安全色、几何形状(边框)或文字构成。安全标志是向工作人员警示工作场所或周围环境的危险状况，指导人们采取合理行为的标志。安全标志能够提醒工作人员预防危险，从而避免事故发生;当危险发生时，能够指示人们尽快逃离，或者指示人们采取正确、有效、得力的措施，对危害加以遏制。安全标志不仅类型要与所警示的内容相吻合，而且设置位置要正确合理，否则就难以真正充分发挥其警示作用。</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1、警告标志共有39个，《安全标志及其使用导则》（GB 2894-2008）规定的警告标志共有39个：注意安全、当心火灾、当心爆炸、当心腐蚀、当心中毒、当心感染、当心触电、当心电缆、当心自动启动、当心机械伤人、当心塌方、当心冒顶、当心坑洞、当心落物、当心吊物、当心碰头、当心挤压、当心烫伤、当心伤手、当心夹手、当心扎脚、当心有犬、当心弧光、当心高温表面、当心低温、当心磁场、当心电离辐射、当心裂变物质、当心激光、当心微波、当心叉车、当心车辆、当心火车、当心坠落、当心障碍、当心跌落、当心滑倒、当心落水、当心缝隙。</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2、禁止标志共有40个，《安全标志及其使用导则》（GB 2894-2008）规定的禁止标志共有40个：禁止吸烟、禁止烟火、禁止带火种、禁止用水灭火、禁止放置易燃物、禁止堆放、禁止启动、禁止合闸、禁止转动、禁止叉车和厂内机动车辆通行、禁止乘人、禁止靠近、禁止入内、禁止推动、禁止停留、禁止通行、禁止跨越、禁止攀登、禁止跳下、禁止伸出窗外、禁止倚靠、禁止坐卧、禁止蹬踏、禁止触摸、禁止伸入、禁止饮用、禁止抛物、禁止戴手套、禁止穿化纤服、禁止穿带钉鞋、禁止开启无线移动通讯设备、禁止携带金属物或手表、禁止佩戴心脏起搏器者靠近、禁止植入金属材料者靠近、禁止游泳、禁止滑冰、禁止携带武器及仿真武器、禁止携带托运易燃及易爆物品、禁止携带托运有毒物品及有害液体、禁止携带托运放射性及磁性物品。</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3、指令标志共有16个，《安全标志及其使用导则》（GB 2894-2008）规定的指令标志共有16个：必须戴防护眼镜、必须佩戴遮光护目镜、必须戴防尘口罩、必须戴防毒面具、必须戴护耳器、必须戴安全帽、必须戴防护帽、必须系安全带、必须穿救生衣、必须穿防护服、必须戴防护手套、必须穿防护鞋、必须洗手、必须加锁、必须接地、必须拔出插头。</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4、提示标志共有8个。《安全标志及其使用导则》（GB 2894-2008）规定的提示标志共有8个：紧急出口、避险处、应急避难场所、可动火区、击碎板面、急救点、应急电话、紧急医疗站。</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5、标识配色说明</w:t>
      </w:r>
    </w:p>
    <w:p>
      <w:pPr>
        <w:adjustRightInd w:val="0"/>
        <w:snapToGrid w:val="0"/>
        <w:spacing w:line="360" w:lineRule="auto"/>
        <w:ind w:firstLine="480" w:firstLineChars="200"/>
        <w:contextualSpacing/>
        <w:jc w:val="left"/>
        <w:rPr>
          <w:rFonts w:eastAsia="宋体" w:cs="Times New Roman"/>
          <w:sz w:val="24"/>
        </w:rPr>
        <w:sectPr>
          <w:footerReference r:id="rId11" w:type="default"/>
          <w:footerReference r:id="rId12" w:type="even"/>
          <w:pgSz w:w="8391" w:h="11906"/>
          <w:pgMar w:top="1418" w:right="1134" w:bottom="1077" w:left="1134" w:header="851" w:footer="992" w:gutter="0"/>
          <w:cols w:space="425" w:num="1"/>
          <w:docGrid w:type="lines" w:linePitch="435" w:charSpace="0"/>
        </w:sectPr>
      </w:pPr>
    </w:p>
    <w:p>
      <w:pPr>
        <w:spacing w:line="360" w:lineRule="auto"/>
        <w:jc w:val="center"/>
        <w:rPr>
          <w:rFonts w:eastAsia="宋体" w:cs="Times New Roman"/>
          <w:sz w:val="21"/>
          <w:szCs w:val="21"/>
        </w:rPr>
      </w:pPr>
      <w:r>
        <w:rPr>
          <w:rFonts w:hint="eastAsia" w:eastAsia="宋体" w:cs="Times New Roman"/>
          <w:sz w:val="21"/>
          <w:szCs w:val="21"/>
        </w:rPr>
        <w:t>表1</w:t>
      </w:r>
      <w:r>
        <w:rPr>
          <w:rFonts w:eastAsia="宋体" w:cs="Times New Roman"/>
          <w:sz w:val="21"/>
          <w:szCs w:val="21"/>
        </w:rPr>
        <w:t>4.3</w:t>
      </w:r>
      <w:r>
        <w:rPr>
          <w:rFonts w:hint="eastAsia" w:eastAsia="宋体" w:cs="Times New Roman"/>
          <w:sz w:val="21"/>
          <w:szCs w:val="21"/>
        </w:rPr>
        <w:t>-</w:t>
      </w:r>
      <w:r>
        <w:rPr>
          <w:rFonts w:eastAsia="宋体" w:cs="Times New Roman"/>
          <w:sz w:val="21"/>
          <w:szCs w:val="21"/>
        </w:rPr>
        <w:t>1</w:t>
      </w:r>
      <w:r>
        <w:rPr>
          <w:rFonts w:hint="eastAsia" w:eastAsia="宋体" w:cs="Times New Roman"/>
          <w:sz w:val="21"/>
          <w:szCs w:val="21"/>
        </w:rPr>
        <w:t>标识配色说明表</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787"/>
        <w:gridCol w:w="2172"/>
        <w:gridCol w:w="3564"/>
        <w:gridCol w:w="2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02" w:type="dxa"/>
            <w:vAlign w:val="center"/>
          </w:tcPr>
          <w:p>
            <w:pPr>
              <w:jc w:val="center"/>
              <w:rPr>
                <w:rFonts w:ascii="Calibri" w:hAnsi="Calibri" w:cs="Times New Roman" w:eastAsiaTheme="minorEastAsia"/>
                <w:b/>
                <w:bCs/>
                <w:sz w:val="21"/>
                <w:szCs w:val="21"/>
              </w:rPr>
            </w:pPr>
            <w:r>
              <w:rPr>
                <w:rFonts w:ascii="Calibri" w:hAnsi="Calibri" w:cs="Times New Roman" w:eastAsiaTheme="minorEastAsia"/>
                <w:b/>
                <w:bCs/>
                <w:sz w:val="21"/>
                <w:szCs w:val="21"/>
              </w:rPr>
              <w:t>分类</w:t>
            </w:r>
          </w:p>
        </w:tc>
        <w:tc>
          <w:tcPr>
            <w:tcW w:w="787" w:type="dxa"/>
            <w:vAlign w:val="center"/>
          </w:tcPr>
          <w:p>
            <w:pPr>
              <w:jc w:val="center"/>
              <w:rPr>
                <w:rFonts w:ascii="Calibri" w:hAnsi="Calibri" w:cs="Times New Roman" w:eastAsiaTheme="minorEastAsia"/>
                <w:b/>
                <w:bCs/>
                <w:sz w:val="21"/>
                <w:szCs w:val="21"/>
              </w:rPr>
            </w:pPr>
            <w:r>
              <w:rPr>
                <w:rFonts w:ascii="Calibri" w:hAnsi="Calibri" w:cs="Times New Roman" w:eastAsiaTheme="minorEastAsia"/>
                <w:b/>
                <w:bCs/>
                <w:sz w:val="21"/>
                <w:szCs w:val="21"/>
              </w:rPr>
              <w:t>颜色</w:t>
            </w:r>
          </w:p>
        </w:tc>
        <w:tc>
          <w:tcPr>
            <w:tcW w:w="2172" w:type="dxa"/>
            <w:vAlign w:val="center"/>
          </w:tcPr>
          <w:p>
            <w:pPr>
              <w:jc w:val="center"/>
              <w:rPr>
                <w:rFonts w:ascii="Calibri" w:hAnsi="Calibri" w:cs="Times New Roman" w:eastAsiaTheme="minorEastAsia"/>
                <w:b/>
                <w:bCs/>
                <w:sz w:val="21"/>
                <w:szCs w:val="21"/>
              </w:rPr>
            </w:pPr>
            <w:r>
              <w:rPr>
                <w:rFonts w:ascii="Calibri" w:hAnsi="Calibri" w:cs="Times New Roman" w:eastAsiaTheme="minorEastAsia"/>
                <w:b/>
                <w:bCs/>
                <w:sz w:val="21"/>
                <w:szCs w:val="21"/>
              </w:rPr>
              <w:t>样式</w:t>
            </w:r>
          </w:p>
        </w:tc>
        <w:tc>
          <w:tcPr>
            <w:tcW w:w="3564" w:type="dxa"/>
            <w:vAlign w:val="center"/>
          </w:tcPr>
          <w:p>
            <w:pPr>
              <w:jc w:val="center"/>
              <w:rPr>
                <w:rFonts w:ascii="Calibri" w:hAnsi="Calibri" w:cs="Times New Roman" w:eastAsiaTheme="minorEastAsia"/>
                <w:b/>
                <w:bCs/>
                <w:sz w:val="21"/>
                <w:szCs w:val="21"/>
              </w:rPr>
            </w:pPr>
            <w:r>
              <w:rPr>
                <w:rFonts w:ascii="Calibri" w:hAnsi="Calibri" w:cs="Times New Roman" w:eastAsiaTheme="minorEastAsia"/>
                <w:b/>
                <w:bCs/>
                <w:sz w:val="21"/>
                <w:szCs w:val="21"/>
              </w:rPr>
              <w:t>说明</w:t>
            </w:r>
          </w:p>
        </w:tc>
        <w:tc>
          <w:tcPr>
            <w:tcW w:w="2126" w:type="dxa"/>
            <w:vAlign w:val="center"/>
          </w:tcPr>
          <w:p>
            <w:pPr>
              <w:jc w:val="center"/>
              <w:rPr>
                <w:rFonts w:ascii="Calibri" w:hAnsi="Calibri" w:cs="Times New Roman" w:eastAsiaTheme="minorEastAsia"/>
                <w:b/>
                <w:bCs/>
                <w:sz w:val="21"/>
                <w:szCs w:val="21"/>
              </w:rPr>
            </w:pPr>
            <w:r>
              <w:rPr>
                <w:rFonts w:ascii="Calibri" w:hAnsi="Calibri" w:cs="Times New Roman" w:eastAsiaTheme="minorEastAsia"/>
                <w:b/>
                <w:bCs/>
                <w:sz w:val="21"/>
                <w:szCs w:val="21"/>
              </w:rPr>
              <w:t>安装要求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2"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t>警告标志</w:t>
            </w:r>
          </w:p>
        </w:tc>
        <w:tc>
          <w:tcPr>
            <w:tcW w:w="787"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t>黄、黑、白</w:t>
            </w:r>
          </w:p>
        </w:tc>
        <w:tc>
          <w:tcPr>
            <w:tcW w:w="2172"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drawing>
                <wp:inline distT="0" distB="0" distL="0" distR="0">
                  <wp:extent cx="1148080" cy="1498600"/>
                  <wp:effectExtent l="0" t="0" r="0" b="6350"/>
                  <wp:docPr id="308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3" name="图片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1151617" cy="1503500"/>
                          </a:xfrm>
                          <a:prstGeom prst="rect">
                            <a:avLst/>
                          </a:prstGeom>
                          <a:noFill/>
                          <a:ln>
                            <a:noFill/>
                          </a:ln>
                        </pic:spPr>
                      </pic:pic>
                    </a:graphicData>
                  </a:graphic>
                </wp:inline>
              </w:drawing>
            </w:r>
          </w:p>
        </w:tc>
        <w:tc>
          <w:tcPr>
            <w:tcW w:w="3564" w:type="dxa"/>
            <w:vAlign w:val="center"/>
          </w:tcPr>
          <w:p>
            <w:pPr>
              <w:jc w:val="left"/>
              <w:rPr>
                <w:rFonts w:ascii="Calibri" w:hAnsi="Calibri" w:cs="Times New Roman" w:eastAsiaTheme="minorEastAsia"/>
                <w:sz w:val="21"/>
                <w:szCs w:val="21"/>
              </w:rPr>
            </w:pPr>
            <w:r>
              <w:rPr>
                <w:rFonts w:ascii="Calibri" w:hAnsi="Calibri" w:cs="Times New Roman" w:eastAsiaTheme="minorEastAsia"/>
                <w:sz w:val="21"/>
                <w:szCs w:val="21"/>
              </w:rPr>
              <w:t>黄色：传递注意、警告的信息</w:t>
            </w:r>
          </w:p>
          <w:p>
            <w:pPr>
              <w:jc w:val="left"/>
              <w:rPr>
                <w:rFonts w:ascii="Calibri" w:hAnsi="Calibri" w:cs="Times New Roman" w:eastAsiaTheme="minorEastAsia"/>
                <w:sz w:val="21"/>
                <w:szCs w:val="21"/>
              </w:rPr>
            </w:pPr>
            <w:r>
              <w:rPr>
                <w:rFonts w:ascii="Calibri" w:hAnsi="Calibri" w:cs="Times New Roman" w:eastAsiaTheme="minorEastAsia"/>
                <w:sz w:val="21"/>
                <w:szCs w:val="21"/>
              </w:rPr>
              <w:t>警告标志的含义是警告人们可能发生的危险。</w:t>
            </w:r>
          </w:p>
          <w:p>
            <w:pPr>
              <w:jc w:val="left"/>
              <w:rPr>
                <w:rFonts w:ascii="Calibri" w:hAnsi="Calibri" w:cs="Times New Roman" w:eastAsiaTheme="minorEastAsia"/>
                <w:sz w:val="21"/>
                <w:szCs w:val="21"/>
              </w:rPr>
            </w:pPr>
            <w:r>
              <w:rPr>
                <w:rFonts w:ascii="Calibri" w:hAnsi="Calibri" w:cs="Times New Roman" w:eastAsiaTheme="minorEastAsia"/>
                <w:sz w:val="21"/>
                <w:szCs w:val="21"/>
              </w:rPr>
              <w:t>警告标志的几何图形是黑色的正三角形、黑色符号和黄色背景。</w:t>
            </w:r>
          </w:p>
        </w:tc>
        <w:tc>
          <w:tcPr>
            <w:tcW w:w="2126" w:type="dxa"/>
            <w:vMerge w:val="restart"/>
            <w:vAlign w:val="center"/>
          </w:tcPr>
          <w:p>
            <w:pPr>
              <w:rPr>
                <w:rFonts w:ascii="Calibri" w:hAnsi="Calibri" w:cs="Times New Roman" w:eastAsiaTheme="minorEastAsia"/>
                <w:sz w:val="21"/>
                <w:szCs w:val="21"/>
              </w:rPr>
            </w:pPr>
            <w:r>
              <w:rPr>
                <w:rFonts w:ascii="Calibri" w:hAnsi="Calibri" w:cs="Times New Roman" w:eastAsiaTheme="minorEastAsia"/>
                <w:sz w:val="21"/>
                <w:szCs w:val="21"/>
              </w:rPr>
              <w:t xml:space="preserve">国标《安全标志及其使用导则》（GB2894-2008）9.5： </w:t>
            </w:r>
          </w:p>
          <w:p>
            <w:pPr>
              <w:rPr>
                <w:rFonts w:ascii="Calibri" w:hAnsi="Calibri" w:cs="Times New Roman" w:eastAsiaTheme="minorEastAsia"/>
                <w:spacing w:val="8"/>
                <w:sz w:val="21"/>
                <w:szCs w:val="21"/>
                <w:shd w:val="clear" w:color="auto" w:fill="FFFFFF"/>
              </w:rPr>
            </w:pPr>
            <w:r>
              <w:rPr>
                <w:rFonts w:ascii="Calibri" w:hAnsi="Calibri" w:cs="Times New Roman" w:eastAsiaTheme="minorEastAsia"/>
                <w:spacing w:val="8"/>
                <w:sz w:val="21"/>
                <w:szCs w:val="21"/>
                <w:shd w:val="clear" w:color="auto" w:fill="FFFFFF"/>
              </w:rPr>
              <w:t>多个标志在一起设置时，应按警告、禁止、指令、提示类型的顺序，先左后右 ，先上后下地排列。</w:t>
            </w:r>
          </w:p>
          <w:p>
            <w:pPr>
              <w:rPr>
                <w:rFonts w:ascii="Calibri" w:hAnsi="Calibri" w:cs="Times New Roman" w:eastAsiaTheme="minorEastAsia"/>
                <w:spacing w:val="8"/>
                <w:sz w:val="21"/>
                <w:szCs w:val="21"/>
                <w:shd w:val="clear" w:color="auto" w:fill="FFFFFF"/>
              </w:rPr>
            </w:pPr>
            <w:r>
              <w:rPr>
                <w:rFonts w:ascii="Calibri" w:hAnsi="Calibri" w:cs="Times New Roman" w:eastAsiaTheme="minorEastAsia"/>
                <w:spacing w:val="8"/>
                <w:sz w:val="21"/>
                <w:szCs w:val="21"/>
                <w:shd w:val="clear" w:color="auto" w:fill="FFFFFF"/>
              </w:rPr>
              <w:t>室外安装建议尺寸：L×H＝40×50cm</w:t>
            </w:r>
          </w:p>
          <w:p>
            <w:pPr>
              <w:rPr>
                <w:rFonts w:ascii="Calibri" w:hAnsi="Calibri" w:cs="Times New Roman" w:eastAsiaTheme="minorEastAsia"/>
                <w:spacing w:val="8"/>
                <w:sz w:val="21"/>
                <w:szCs w:val="21"/>
                <w:shd w:val="clear" w:color="auto" w:fill="FFFFFF"/>
              </w:rPr>
            </w:pPr>
            <w:r>
              <w:rPr>
                <w:rFonts w:ascii="Calibri" w:hAnsi="Calibri" w:cs="Times New Roman" w:eastAsiaTheme="minorEastAsia"/>
                <w:spacing w:val="8"/>
                <w:sz w:val="21"/>
                <w:szCs w:val="21"/>
                <w:shd w:val="clear" w:color="auto" w:fill="FFFFFF"/>
              </w:rPr>
              <w:t>车间内建议20×25cm（具体尺寸也可参考GB2894安全标志及其使用导则）</w:t>
            </w:r>
          </w:p>
          <w:p>
            <w:pPr>
              <w:rPr>
                <w:rFonts w:ascii="Calibri" w:hAnsi="Calibri" w:cs="Times New Roman" w:eastAsiaTheme="minorEastAsia"/>
                <w:spacing w:val="8"/>
                <w:sz w:val="21"/>
                <w:szCs w:val="21"/>
                <w:shd w:val="clear" w:color="auto" w:fill="FFFFFF"/>
              </w:rPr>
            </w:pPr>
            <w:r>
              <w:rPr>
                <w:rFonts w:ascii="Calibri" w:hAnsi="Calibri" w:cs="Times New Roman" w:eastAsiaTheme="minorEastAsia"/>
                <w:spacing w:val="8"/>
                <w:sz w:val="21"/>
                <w:szCs w:val="21"/>
                <w:shd w:val="clear" w:color="auto" w:fill="FFFFFF"/>
              </w:rPr>
              <w:t>标志牌设置的高度，应尽量和人眼的视线高度相一致。悬挂式和柱式的环境信息标志牌的下缘距地面的高度不宜小于2m；局部信息标志的设置高度应视具体情况确定。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2"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t>禁止标志</w:t>
            </w:r>
          </w:p>
        </w:tc>
        <w:tc>
          <w:tcPr>
            <w:tcW w:w="787"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t>红、黑、白</w:t>
            </w:r>
          </w:p>
        </w:tc>
        <w:tc>
          <w:tcPr>
            <w:tcW w:w="2172"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drawing>
                <wp:inline distT="0" distB="0" distL="0" distR="0">
                  <wp:extent cx="1223645" cy="1583690"/>
                  <wp:effectExtent l="0" t="0" r="0" b="0"/>
                  <wp:docPr id="308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4" name="图片 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1224000" cy="1584000"/>
                          </a:xfrm>
                          <a:prstGeom prst="rect">
                            <a:avLst/>
                          </a:prstGeom>
                          <a:noFill/>
                          <a:ln>
                            <a:noFill/>
                          </a:ln>
                        </pic:spPr>
                      </pic:pic>
                    </a:graphicData>
                  </a:graphic>
                </wp:inline>
              </w:drawing>
            </w:r>
          </w:p>
        </w:tc>
        <w:tc>
          <w:tcPr>
            <w:tcW w:w="3564" w:type="dxa"/>
            <w:vAlign w:val="center"/>
          </w:tcPr>
          <w:p>
            <w:pPr>
              <w:jc w:val="left"/>
              <w:rPr>
                <w:rFonts w:ascii="Calibri" w:hAnsi="Calibri" w:cs="Times New Roman" w:eastAsiaTheme="minorEastAsia"/>
                <w:sz w:val="21"/>
                <w:szCs w:val="21"/>
              </w:rPr>
            </w:pPr>
            <w:r>
              <w:rPr>
                <w:rFonts w:ascii="Calibri" w:hAnsi="Calibri" w:cs="Times New Roman" w:eastAsiaTheme="minorEastAsia"/>
                <w:sz w:val="21"/>
                <w:szCs w:val="21"/>
              </w:rPr>
              <w:t>红色：传递禁止、停止、危险或提示消防设备、设施的信息。</w:t>
            </w:r>
          </w:p>
          <w:p>
            <w:pPr>
              <w:jc w:val="left"/>
              <w:rPr>
                <w:rFonts w:ascii="Calibri" w:hAnsi="Calibri" w:cs="Times New Roman" w:eastAsiaTheme="minorEastAsia"/>
                <w:sz w:val="21"/>
                <w:szCs w:val="21"/>
              </w:rPr>
            </w:pPr>
            <w:r>
              <w:rPr>
                <w:rFonts w:ascii="Calibri" w:hAnsi="Calibri" w:cs="Times New Roman" w:eastAsiaTheme="minorEastAsia"/>
                <w:sz w:val="21"/>
                <w:szCs w:val="21"/>
              </w:rPr>
              <w:t>禁止标志的含义是不准或制止人们的某些行动。</w:t>
            </w:r>
          </w:p>
          <w:p>
            <w:pPr>
              <w:jc w:val="left"/>
              <w:rPr>
                <w:rFonts w:ascii="Calibri" w:hAnsi="Calibri" w:cs="Times New Roman" w:eastAsiaTheme="minorEastAsia"/>
                <w:sz w:val="21"/>
                <w:szCs w:val="21"/>
              </w:rPr>
            </w:pPr>
            <w:r>
              <w:rPr>
                <w:rFonts w:ascii="Calibri" w:hAnsi="Calibri" w:cs="Times New Roman" w:eastAsiaTheme="minorEastAsia"/>
                <w:sz w:val="21"/>
                <w:szCs w:val="21"/>
              </w:rPr>
              <w:t>禁止标志的几何图形是带斜杠的圆环，其中圆环与斜杠相连，用红色;图形符号用黑色，背景用白色。</w:t>
            </w:r>
          </w:p>
        </w:tc>
        <w:tc>
          <w:tcPr>
            <w:tcW w:w="2126" w:type="dxa"/>
            <w:vMerge w:val="continue"/>
            <w:vAlign w:val="center"/>
          </w:tcPr>
          <w:p>
            <w:pPr>
              <w:jc w:val="center"/>
              <w:rPr>
                <w:rFonts w:ascii="Calibri" w:hAnsi="Calibri"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2"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t>指示标志</w:t>
            </w:r>
          </w:p>
        </w:tc>
        <w:tc>
          <w:tcPr>
            <w:tcW w:w="787"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t>蓝、白</w:t>
            </w:r>
          </w:p>
        </w:tc>
        <w:tc>
          <w:tcPr>
            <w:tcW w:w="2172"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drawing>
                <wp:inline distT="0" distB="0" distL="0" distR="0">
                  <wp:extent cx="1225550" cy="1584960"/>
                  <wp:effectExtent l="0" t="0" r="0" b="0"/>
                  <wp:docPr id="31014" name="图片 3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4" name="图片 310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1225550" cy="1584960"/>
                          </a:xfrm>
                          <a:prstGeom prst="rect">
                            <a:avLst/>
                          </a:prstGeom>
                          <a:noFill/>
                        </pic:spPr>
                      </pic:pic>
                    </a:graphicData>
                  </a:graphic>
                </wp:inline>
              </w:drawing>
            </w:r>
          </w:p>
        </w:tc>
        <w:tc>
          <w:tcPr>
            <w:tcW w:w="3564" w:type="dxa"/>
            <w:vAlign w:val="center"/>
          </w:tcPr>
          <w:p>
            <w:pPr>
              <w:jc w:val="left"/>
              <w:rPr>
                <w:rFonts w:ascii="Calibri" w:hAnsi="Calibri" w:cs="Times New Roman" w:eastAsiaTheme="minorEastAsia"/>
                <w:sz w:val="21"/>
                <w:szCs w:val="21"/>
              </w:rPr>
            </w:pPr>
            <w:r>
              <w:rPr>
                <w:rFonts w:ascii="Calibri" w:hAnsi="Calibri" w:cs="Times New Roman" w:eastAsiaTheme="minorEastAsia"/>
                <w:sz w:val="21"/>
                <w:szCs w:val="21"/>
              </w:rPr>
              <w:t>蓝色：传递必须遵守规定的指令性信息。</w:t>
            </w:r>
          </w:p>
          <w:p>
            <w:pPr>
              <w:jc w:val="left"/>
              <w:rPr>
                <w:rFonts w:ascii="Calibri" w:hAnsi="Calibri" w:cs="Times New Roman" w:eastAsiaTheme="minorEastAsia"/>
                <w:sz w:val="21"/>
                <w:szCs w:val="21"/>
              </w:rPr>
            </w:pPr>
            <w:r>
              <w:rPr>
                <w:rFonts w:ascii="Calibri" w:hAnsi="Calibri" w:cs="Times New Roman" w:eastAsiaTheme="minorEastAsia"/>
                <w:sz w:val="21"/>
                <w:szCs w:val="21"/>
              </w:rPr>
              <w:t>指令标志的含义是必须遵守。是强制人们必须做出某种动作或采用防范措施的图形标志。指令标志的几何图形是圆形，蓝色背景，白色图形符号。</w:t>
            </w:r>
          </w:p>
          <w:p>
            <w:pPr>
              <w:jc w:val="left"/>
              <w:rPr>
                <w:rFonts w:ascii="Calibri" w:hAnsi="Calibri" w:cs="Times New Roman" w:eastAsiaTheme="minorEastAsia"/>
                <w:sz w:val="21"/>
                <w:szCs w:val="21"/>
              </w:rPr>
            </w:pPr>
            <w:r>
              <w:rPr>
                <w:rFonts w:ascii="Calibri" w:hAnsi="Calibri" w:cs="Times New Roman" w:eastAsiaTheme="minorEastAsia"/>
                <w:sz w:val="21"/>
                <w:szCs w:val="21"/>
              </w:rPr>
              <w:t>指令标志的几何图形是圆形，蓝色背景，白色图形符号。</w:t>
            </w:r>
          </w:p>
        </w:tc>
        <w:tc>
          <w:tcPr>
            <w:tcW w:w="2126" w:type="dxa"/>
            <w:vMerge w:val="continue"/>
            <w:vAlign w:val="center"/>
          </w:tcPr>
          <w:p>
            <w:pPr>
              <w:jc w:val="center"/>
              <w:rPr>
                <w:rFonts w:ascii="Calibri" w:hAnsi="Calibri"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2"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t>提示标志</w:t>
            </w:r>
          </w:p>
        </w:tc>
        <w:tc>
          <w:tcPr>
            <w:tcW w:w="787"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t>绿、黑、白</w:t>
            </w:r>
          </w:p>
        </w:tc>
        <w:tc>
          <w:tcPr>
            <w:tcW w:w="2172" w:type="dxa"/>
            <w:vAlign w:val="center"/>
          </w:tcPr>
          <w:p>
            <w:pPr>
              <w:jc w:val="center"/>
              <w:rPr>
                <w:rFonts w:ascii="Calibri" w:hAnsi="Calibri" w:cs="Times New Roman" w:eastAsiaTheme="minorEastAsia"/>
                <w:sz w:val="21"/>
                <w:szCs w:val="21"/>
              </w:rPr>
            </w:pPr>
            <w:r>
              <w:rPr>
                <w:rFonts w:ascii="Calibri" w:hAnsi="Calibri" w:cs="Times New Roman" w:eastAsiaTheme="minorEastAsia"/>
                <w:sz w:val="21"/>
                <w:szCs w:val="21"/>
              </w:rPr>
              <w:drawing>
                <wp:inline distT="0" distB="0" distL="0" distR="0">
                  <wp:extent cx="1223645" cy="1583690"/>
                  <wp:effectExtent l="0" t="0" r="0" b="0"/>
                  <wp:docPr id="30836" name="图片 30836"/>
                  <wp:cNvGraphicFramePr/>
                  <a:graphic xmlns:a="http://schemas.openxmlformats.org/drawingml/2006/main">
                    <a:graphicData uri="http://schemas.openxmlformats.org/drawingml/2006/picture">
                      <pic:pic xmlns:pic="http://schemas.openxmlformats.org/drawingml/2006/picture">
                        <pic:nvPicPr>
                          <pic:cNvPr id="30836" name="图片 30836"/>
                          <pic:cNvPicPr/>
                        </pic:nvPicPr>
                        <pic:blipFill>
                          <a:blip r:embed="rId189"/>
                          <a:stretch>
                            <a:fillRect/>
                          </a:stretch>
                        </pic:blipFill>
                        <pic:spPr>
                          <a:xfrm>
                            <a:off x="0" y="0"/>
                            <a:ext cx="1224000" cy="1584000"/>
                          </a:xfrm>
                          <a:prstGeom prst="rect">
                            <a:avLst/>
                          </a:prstGeom>
                        </pic:spPr>
                      </pic:pic>
                    </a:graphicData>
                  </a:graphic>
                </wp:inline>
              </w:drawing>
            </w:r>
          </w:p>
        </w:tc>
        <w:tc>
          <w:tcPr>
            <w:tcW w:w="3564" w:type="dxa"/>
            <w:vAlign w:val="center"/>
          </w:tcPr>
          <w:p>
            <w:pPr>
              <w:jc w:val="left"/>
              <w:rPr>
                <w:rFonts w:ascii="Calibri" w:hAnsi="Calibri" w:cs="Times New Roman" w:eastAsiaTheme="minorEastAsia"/>
                <w:sz w:val="21"/>
                <w:szCs w:val="21"/>
              </w:rPr>
            </w:pPr>
            <w:r>
              <w:rPr>
                <w:rFonts w:ascii="Calibri" w:hAnsi="Calibri" w:cs="Times New Roman" w:eastAsiaTheme="minorEastAsia"/>
                <w:sz w:val="21"/>
                <w:szCs w:val="21"/>
              </w:rPr>
              <w:t>绿色：传递安全的提示性信息。</w:t>
            </w:r>
          </w:p>
          <w:p>
            <w:pPr>
              <w:jc w:val="left"/>
              <w:rPr>
                <w:rFonts w:ascii="Calibri" w:hAnsi="Calibri" w:cs="Times New Roman" w:eastAsiaTheme="minorEastAsia"/>
                <w:sz w:val="21"/>
                <w:szCs w:val="21"/>
              </w:rPr>
            </w:pPr>
            <w:r>
              <w:rPr>
                <w:rFonts w:ascii="Calibri" w:hAnsi="Calibri" w:cs="Times New Roman" w:eastAsiaTheme="minorEastAsia"/>
                <w:sz w:val="21"/>
                <w:szCs w:val="21"/>
              </w:rPr>
              <w:t>提示标志是向人们提供某种信息(如标明安全设施或场所等)的图形标志。提示标志的几何图形是方形，绿色背景，白色图形符号及文字。</w:t>
            </w:r>
          </w:p>
        </w:tc>
        <w:tc>
          <w:tcPr>
            <w:tcW w:w="2126" w:type="dxa"/>
            <w:vMerge w:val="continue"/>
            <w:vAlign w:val="center"/>
          </w:tcPr>
          <w:p>
            <w:pPr>
              <w:jc w:val="center"/>
              <w:rPr>
                <w:rFonts w:ascii="Calibri" w:hAnsi="Calibri" w:cs="Times New Roman" w:eastAsiaTheme="minorEastAsia"/>
                <w:sz w:val="21"/>
                <w:szCs w:val="21"/>
              </w:rPr>
            </w:pPr>
          </w:p>
        </w:tc>
      </w:tr>
    </w:tbl>
    <w:p>
      <w:pPr>
        <w:pStyle w:val="2"/>
      </w:pPr>
    </w:p>
    <w:p>
      <w:pPr>
        <w:spacing w:line="360" w:lineRule="auto"/>
        <w:ind w:firstLine="480" w:firstLineChars="200"/>
        <w:rPr>
          <w:rFonts w:eastAsia="宋体" w:cs="Times New Roman"/>
          <w:sz w:val="24"/>
          <w:szCs w:val="21"/>
        </w:rPr>
      </w:pPr>
    </w:p>
    <w:p>
      <w:pPr>
        <w:spacing w:line="360" w:lineRule="auto"/>
        <w:ind w:firstLine="480" w:firstLineChars="200"/>
        <w:rPr>
          <w:rFonts w:eastAsia="宋体" w:cs="Times New Roman"/>
          <w:sz w:val="24"/>
          <w:szCs w:val="21"/>
        </w:rPr>
      </w:pPr>
    </w:p>
    <w:p>
      <w:pPr>
        <w:spacing w:line="360" w:lineRule="auto"/>
        <w:ind w:firstLine="480" w:firstLineChars="200"/>
        <w:rPr>
          <w:rFonts w:eastAsia="宋体" w:cs="Times New Roman"/>
          <w:sz w:val="24"/>
          <w:szCs w:val="21"/>
        </w:rPr>
      </w:pPr>
    </w:p>
    <w:p>
      <w:pPr>
        <w:spacing w:line="360" w:lineRule="auto"/>
        <w:ind w:firstLine="480" w:firstLineChars="200"/>
        <w:rPr>
          <w:rFonts w:eastAsia="宋体" w:cs="Times New Roman"/>
          <w:sz w:val="24"/>
          <w:szCs w:val="21"/>
        </w:rPr>
      </w:pPr>
    </w:p>
    <w:p>
      <w:pPr>
        <w:spacing w:line="360" w:lineRule="auto"/>
        <w:ind w:firstLine="720" w:firstLineChars="300"/>
        <w:rPr>
          <w:rFonts w:eastAsia="宋体" w:cs="Times New Roman"/>
          <w:sz w:val="24"/>
          <w:szCs w:val="21"/>
        </w:rPr>
      </w:pPr>
      <w:r>
        <w:rPr>
          <w:rFonts w:eastAsia="宋体" w:cs="Times New Roman"/>
          <w:sz w:val="24"/>
          <w:szCs w:val="21"/>
        </w:rPr>
        <w:t>（二）管道标识</w:t>
      </w:r>
    </w:p>
    <w:p>
      <w:pPr>
        <w:pStyle w:val="2"/>
        <w:jc w:val="center"/>
        <w:rPr>
          <w:sz w:val="21"/>
          <w:szCs w:val="21"/>
        </w:rPr>
      </w:pPr>
      <w:r>
        <w:rPr>
          <w:rFonts w:hint="eastAsia"/>
          <w:sz w:val="21"/>
          <w:szCs w:val="21"/>
        </w:rPr>
        <w:t>表1</w:t>
      </w:r>
      <w:r>
        <w:rPr>
          <w:sz w:val="21"/>
          <w:szCs w:val="21"/>
        </w:rPr>
        <w:t>4.3</w:t>
      </w:r>
      <w:r>
        <w:rPr>
          <w:rFonts w:hint="eastAsia"/>
          <w:sz w:val="21"/>
          <w:szCs w:val="21"/>
        </w:rPr>
        <w:t>-</w:t>
      </w:r>
      <w:r>
        <w:rPr>
          <w:sz w:val="21"/>
          <w:szCs w:val="21"/>
        </w:rPr>
        <w:t>2</w:t>
      </w:r>
      <w:r>
        <w:rPr>
          <w:rFonts w:hint="eastAsia"/>
          <w:sz w:val="21"/>
          <w:szCs w:val="21"/>
        </w:rPr>
        <w:t>管道标识示例</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4"/>
        <w:gridCol w:w="1374"/>
        <w:gridCol w:w="2736"/>
        <w:gridCol w:w="1375"/>
        <w:gridCol w:w="1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目的</w:t>
            </w:r>
          </w:p>
        </w:tc>
        <w:tc>
          <w:tcPr>
            <w:tcW w:w="6922" w:type="dxa"/>
            <w:gridSpan w:val="4"/>
            <w:vAlign w:val="center"/>
          </w:tcPr>
          <w:p>
            <w:pPr>
              <w:jc w:val="center"/>
              <w:rPr>
                <w:rFonts w:ascii="Calibri" w:hAnsi="Calibri" w:eastAsia="宋体" w:cs="Times New Roman"/>
                <w:sz w:val="21"/>
                <w:szCs w:val="22"/>
              </w:rPr>
            </w:pPr>
            <w:r>
              <w:rPr>
                <w:rFonts w:ascii="Calibri" w:hAnsi="Calibri" w:eastAsia="宋体" w:cs="Times New Roman"/>
                <w:sz w:val="21"/>
                <w:szCs w:val="22"/>
              </w:rPr>
              <w:t>介质管道可视化，直接了解管道介质、介质流向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对象</w:t>
            </w:r>
          </w:p>
        </w:tc>
        <w:tc>
          <w:tcPr>
            <w:tcW w:w="6922" w:type="dxa"/>
            <w:gridSpan w:val="4"/>
            <w:vAlign w:val="center"/>
          </w:tcPr>
          <w:p>
            <w:pPr>
              <w:jc w:val="center"/>
              <w:rPr>
                <w:rFonts w:ascii="Calibri" w:hAnsi="Calibri" w:eastAsia="宋体" w:cs="Times New Roman"/>
                <w:sz w:val="21"/>
                <w:szCs w:val="22"/>
              </w:rPr>
            </w:pPr>
            <w:r>
              <w:rPr>
                <w:rFonts w:ascii="Calibri" w:hAnsi="Calibri" w:eastAsia="宋体" w:cs="Times New Roman"/>
                <w:sz w:val="21"/>
                <w:szCs w:val="22"/>
              </w:rPr>
              <w:t>工厂所有的能源介质管道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参照规范</w:t>
            </w:r>
          </w:p>
        </w:tc>
        <w:tc>
          <w:tcPr>
            <w:tcW w:w="6922" w:type="dxa"/>
            <w:gridSpan w:val="4"/>
            <w:vAlign w:val="center"/>
          </w:tcPr>
          <w:p>
            <w:pPr>
              <w:jc w:val="center"/>
              <w:rPr>
                <w:rFonts w:ascii="Calibri" w:hAnsi="Calibri" w:eastAsia="宋体" w:cs="Times New Roman"/>
                <w:sz w:val="21"/>
                <w:szCs w:val="22"/>
              </w:rPr>
            </w:pPr>
            <w:r>
              <w:rPr>
                <w:rFonts w:ascii="Calibri" w:hAnsi="Calibri" w:eastAsia="宋体" w:cs="Times New Roman"/>
                <w:sz w:val="21"/>
                <w:szCs w:val="22"/>
              </w:rPr>
              <w:t>《工业管道的基本识别色、识别符号和安全标识》（GB7231-2003）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4" w:type="dxa"/>
            <w:vMerge w:val="restart"/>
            <w:vAlign w:val="center"/>
          </w:tcPr>
          <w:p>
            <w:pPr>
              <w:jc w:val="center"/>
              <w:rPr>
                <w:rFonts w:ascii="Calibri" w:hAnsi="Calibri" w:eastAsia="宋体" w:cs="Times New Roman"/>
                <w:sz w:val="21"/>
                <w:szCs w:val="22"/>
              </w:rPr>
            </w:pPr>
            <w:r>
              <w:rPr>
                <w:rFonts w:ascii="Calibri" w:hAnsi="Calibri" w:eastAsia="宋体" w:cs="Times New Roman"/>
                <w:sz w:val="21"/>
                <w:szCs w:val="22"/>
              </w:rPr>
              <w:t>分类</w:t>
            </w: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介质</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t>颜色</w:t>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色号</w:t>
            </w:r>
          </w:p>
        </w:tc>
        <w:tc>
          <w:tcPr>
            <w:tcW w:w="1437" w:type="dxa"/>
            <w:vAlign w:val="center"/>
          </w:tcPr>
          <w:p>
            <w:pPr>
              <w:jc w:val="center"/>
              <w:rPr>
                <w:rFonts w:ascii="Calibri" w:hAnsi="Calibri" w:eastAsia="宋体" w:cs="Times New Roman"/>
                <w:sz w:val="21"/>
                <w:szCs w:val="22"/>
              </w:rPr>
            </w:pPr>
            <w:r>
              <w:rPr>
                <w:rFonts w:ascii="Calibri" w:hAnsi="Calibri" w:eastAsia="宋体" w:cs="Times New Roman"/>
                <w:sz w:val="21"/>
                <w:szCs w:val="22"/>
              </w:rPr>
              <w:t>基本识别色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水</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600200" cy="238125"/>
                  <wp:effectExtent l="0" t="0" r="0" b="9525"/>
                  <wp:docPr id="30837" name="图片 3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7" name="图片 30837"/>
                          <pic:cNvPicPr>
                            <a:picLocks noChangeAspect="1"/>
                          </pic:cNvPicPr>
                        </pic:nvPicPr>
                        <pic:blipFill>
                          <a:blip r:embed="rId190"/>
                          <a:stretch>
                            <a:fillRect/>
                          </a:stretch>
                        </pic:blipFill>
                        <pic:spPr>
                          <a:xfrm>
                            <a:off x="0" y="0"/>
                            <a:ext cx="1600200" cy="238125"/>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艳绿</w:t>
            </w:r>
          </w:p>
        </w:tc>
        <w:tc>
          <w:tcPr>
            <w:tcW w:w="1437" w:type="dxa"/>
            <w:vAlign w:val="center"/>
          </w:tcPr>
          <w:p>
            <w:pPr>
              <w:jc w:val="center"/>
              <w:rPr>
                <w:rFonts w:ascii="Calibri" w:hAnsi="Calibri" w:eastAsia="宋体" w:cs="Times New Roman"/>
                <w:sz w:val="21"/>
                <w:szCs w:val="22"/>
              </w:rPr>
            </w:pPr>
            <w:r>
              <w:rPr>
                <w:rFonts w:ascii="Calibri" w:hAnsi="Calibri" w:eastAsia="宋体" w:cs="Times New Roman"/>
                <w:sz w:val="21"/>
                <w:szCs w:val="22"/>
              </w:rPr>
              <w:t>G03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水蒸气</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571625" cy="257175"/>
                  <wp:effectExtent l="0" t="0" r="9525" b="9525"/>
                  <wp:docPr id="30838" name="图片 3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8" name="图片 30838"/>
                          <pic:cNvPicPr>
                            <a:picLocks noChangeAspect="1"/>
                          </pic:cNvPicPr>
                        </pic:nvPicPr>
                        <pic:blipFill>
                          <a:blip r:embed="rId191"/>
                          <a:stretch>
                            <a:fillRect/>
                          </a:stretch>
                        </pic:blipFill>
                        <pic:spPr>
                          <a:xfrm>
                            <a:off x="0" y="0"/>
                            <a:ext cx="1571625" cy="257175"/>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大红</w:t>
            </w:r>
          </w:p>
        </w:tc>
        <w:tc>
          <w:tcPr>
            <w:tcW w:w="1437" w:type="dxa"/>
            <w:vAlign w:val="center"/>
          </w:tcPr>
          <w:p>
            <w:pPr>
              <w:jc w:val="center"/>
              <w:rPr>
                <w:rFonts w:ascii="Calibri" w:hAnsi="Calibri" w:eastAsia="宋体" w:cs="Times New Roman"/>
                <w:sz w:val="21"/>
                <w:szCs w:val="22"/>
              </w:rPr>
            </w:pPr>
            <w:r>
              <w:rPr>
                <w:rFonts w:ascii="Calibri" w:hAnsi="Calibri" w:eastAsia="宋体" w:cs="Times New Roman"/>
                <w:sz w:val="21"/>
                <w:szCs w:val="22"/>
              </w:rPr>
              <w:t>R03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空气</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590675" cy="247650"/>
                  <wp:effectExtent l="0" t="0" r="9525" b="0"/>
                  <wp:docPr id="30839" name="图片 3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9" name="图片 30839"/>
                          <pic:cNvPicPr>
                            <a:picLocks noChangeAspect="1"/>
                          </pic:cNvPicPr>
                        </pic:nvPicPr>
                        <pic:blipFill>
                          <a:blip r:embed="rId192"/>
                          <a:stretch>
                            <a:fillRect/>
                          </a:stretch>
                        </pic:blipFill>
                        <pic:spPr>
                          <a:xfrm>
                            <a:off x="0" y="0"/>
                            <a:ext cx="1590675" cy="247650"/>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淡灰</w:t>
            </w:r>
          </w:p>
        </w:tc>
        <w:tc>
          <w:tcPr>
            <w:tcW w:w="1437" w:type="dxa"/>
            <w:vAlign w:val="center"/>
          </w:tcPr>
          <w:p>
            <w:pPr>
              <w:jc w:val="center"/>
              <w:rPr>
                <w:rFonts w:ascii="Calibri" w:hAnsi="Calibri" w:eastAsia="宋体" w:cs="Times New Roman"/>
                <w:sz w:val="21"/>
                <w:szCs w:val="22"/>
              </w:rPr>
            </w:pPr>
            <w:r>
              <w:rPr>
                <w:rFonts w:ascii="Calibri" w:hAnsi="Calibri" w:eastAsia="宋体" w:cs="Times New Roman"/>
                <w:sz w:val="21"/>
                <w:szCs w:val="22"/>
              </w:rPr>
              <w:t>B03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气体</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562100" cy="247650"/>
                  <wp:effectExtent l="0" t="0" r="0" b="0"/>
                  <wp:docPr id="30840" name="图片 3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0" name="图片 30840"/>
                          <pic:cNvPicPr>
                            <a:picLocks noChangeAspect="1"/>
                          </pic:cNvPicPr>
                        </pic:nvPicPr>
                        <pic:blipFill>
                          <a:blip r:embed="rId193"/>
                          <a:stretch>
                            <a:fillRect/>
                          </a:stretch>
                        </pic:blipFill>
                        <pic:spPr>
                          <a:xfrm>
                            <a:off x="0" y="0"/>
                            <a:ext cx="1562100" cy="247650"/>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中黄</w:t>
            </w:r>
          </w:p>
        </w:tc>
        <w:tc>
          <w:tcPr>
            <w:tcW w:w="1437" w:type="dxa"/>
            <w:vAlign w:val="center"/>
          </w:tcPr>
          <w:p>
            <w:pPr>
              <w:jc w:val="center"/>
              <w:rPr>
                <w:rFonts w:ascii="Calibri" w:hAnsi="Calibri" w:eastAsia="宋体" w:cs="Times New Roman"/>
                <w:sz w:val="21"/>
                <w:szCs w:val="22"/>
              </w:rPr>
            </w:pPr>
            <w:r>
              <w:rPr>
                <w:rFonts w:ascii="Calibri" w:hAnsi="Calibri" w:eastAsia="宋体" w:cs="Times New Roman"/>
                <w:sz w:val="21"/>
                <w:szCs w:val="22"/>
              </w:rPr>
              <w:t>Y07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酸或碱</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562100" cy="257175"/>
                  <wp:effectExtent l="0" t="0" r="0" b="9525"/>
                  <wp:docPr id="30841" name="图片 3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1" name="图片 30841"/>
                          <pic:cNvPicPr>
                            <a:picLocks noChangeAspect="1"/>
                          </pic:cNvPicPr>
                        </pic:nvPicPr>
                        <pic:blipFill>
                          <a:blip r:embed="rId194"/>
                          <a:stretch>
                            <a:fillRect/>
                          </a:stretch>
                        </pic:blipFill>
                        <pic:spPr>
                          <a:xfrm>
                            <a:off x="0" y="0"/>
                            <a:ext cx="1562100" cy="257175"/>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紫</w:t>
            </w:r>
          </w:p>
        </w:tc>
        <w:tc>
          <w:tcPr>
            <w:tcW w:w="1437" w:type="dxa"/>
            <w:vAlign w:val="center"/>
          </w:tcPr>
          <w:p>
            <w:pPr>
              <w:jc w:val="center"/>
              <w:rPr>
                <w:rFonts w:ascii="Calibri" w:hAnsi="Calibri" w:eastAsia="宋体" w:cs="Times New Roman"/>
                <w:sz w:val="21"/>
                <w:szCs w:val="22"/>
              </w:rPr>
            </w:pPr>
            <w:r>
              <w:rPr>
                <w:rFonts w:ascii="Calibri" w:hAnsi="Calibri" w:eastAsia="宋体" w:cs="Times New Roman"/>
                <w:sz w:val="21"/>
                <w:szCs w:val="22"/>
              </w:rPr>
              <w:t>P02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可燃液体</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571625" cy="266700"/>
                  <wp:effectExtent l="0" t="0" r="9525" b="0"/>
                  <wp:docPr id="30842" name="图片 3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2" name="图片 30842"/>
                          <pic:cNvPicPr>
                            <a:picLocks noChangeAspect="1"/>
                          </pic:cNvPicPr>
                        </pic:nvPicPr>
                        <pic:blipFill>
                          <a:blip r:embed="rId195"/>
                          <a:stretch>
                            <a:fillRect/>
                          </a:stretch>
                        </pic:blipFill>
                        <pic:spPr>
                          <a:xfrm>
                            <a:off x="0" y="0"/>
                            <a:ext cx="1571625" cy="266700"/>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棕</w:t>
            </w:r>
          </w:p>
        </w:tc>
        <w:tc>
          <w:tcPr>
            <w:tcW w:w="1437" w:type="dxa"/>
            <w:vAlign w:val="center"/>
          </w:tcPr>
          <w:p>
            <w:pPr>
              <w:jc w:val="center"/>
              <w:rPr>
                <w:rFonts w:ascii="Calibri" w:hAnsi="Calibri" w:eastAsia="宋体" w:cs="Times New Roman"/>
                <w:sz w:val="21"/>
                <w:szCs w:val="22"/>
              </w:rPr>
            </w:pPr>
            <w:r>
              <w:rPr>
                <w:rFonts w:ascii="Calibri" w:hAnsi="Calibri" w:eastAsia="宋体" w:cs="Times New Roman"/>
                <w:sz w:val="21"/>
                <w:szCs w:val="22"/>
              </w:rPr>
              <w:t>YR05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其他液体</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571625" cy="247650"/>
                  <wp:effectExtent l="0" t="0" r="9525" b="0"/>
                  <wp:docPr id="30843" name="图片 3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3" name="图片 30843"/>
                          <pic:cNvPicPr>
                            <a:picLocks noChangeAspect="1"/>
                          </pic:cNvPicPr>
                        </pic:nvPicPr>
                        <pic:blipFill>
                          <a:blip r:embed="rId196"/>
                          <a:stretch>
                            <a:fillRect/>
                          </a:stretch>
                        </pic:blipFill>
                        <pic:spPr>
                          <a:xfrm>
                            <a:off x="0" y="0"/>
                            <a:ext cx="1571625" cy="247650"/>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黑</w:t>
            </w:r>
          </w:p>
        </w:tc>
        <w:tc>
          <w:tcPr>
            <w:tcW w:w="1437" w:type="dxa"/>
            <w:vAlign w:val="center"/>
          </w:tcPr>
          <w:p>
            <w:pPr>
              <w:jc w:val="center"/>
              <w:rPr>
                <w:rFonts w:ascii="Calibri" w:hAnsi="Calibri" w:eastAsia="宋体"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氧</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600200" cy="247650"/>
                  <wp:effectExtent l="0" t="0" r="0" b="0"/>
                  <wp:docPr id="30844" name="图片 3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4" name="图片 30844"/>
                          <pic:cNvPicPr>
                            <a:picLocks noChangeAspect="1"/>
                          </pic:cNvPicPr>
                        </pic:nvPicPr>
                        <pic:blipFill>
                          <a:blip r:embed="rId197"/>
                          <a:stretch>
                            <a:fillRect/>
                          </a:stretch>
                        </pic:blipFill>
                        <pic:spPr>
                          <a:xfrm>
                            <a:off x="0" y="0"/>
                            <a:ext cx="1600200" cy="247650"/>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淡蓝</w:t>
            </w:r>
          </w:p>
        </w:tc>
        <w:tc>
          <w:tcPr>
            <w:tcW w:w="1437" w:type="dxa"/>
            <w:vAlign w:val="center"/>
          </w:tcPr>
          <w:p>
            <w:pPr>
              <w:jc w:val="center"/>
              <w:rPr>
                <w:rFonts w:ascii="Calibri" w:hAnsi="Calibri" w:eastAsia="宋体" w:cs="Times New Roman"/>
                <w:sz w:val="21"/>
                <w:szCs w:val="22"/>
              </w:rPr>
            </w:pPr>
            <w:r>
              <w:rPr>
                <w:rFonts w:ascii="Calibri" w:hAnsi="Calibri" w:eastAsia="宋体" w:cs="Times New Roman"/>
                <w:sz w:val="21"/>
                <w:szCs w:val="22"/>
              </w:rPr>
              <w:t>PB06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gridSpan w:val="5"/>
            <w:vAlign w:val="center"/>
          </w:tcPr>
          <w:p>
            <w:pPr>
              <w:jc w:val="center"/>
              <w:rPr>
                <w:rFonts w:ascii="Calibri" w:hAnsi="Calibri" w:eastAsia="宋体" w:cs="Times New Roman"/>
                <w:sz w:val="21"/>
                <w:szCs w:val="22"/>
              </w:rPr>
            </w:pPr>
            <w:r>
              <w:rPr>
                <w:rFonts w:ascii="Calibri" w:hAnsi="Calibri" w:eastAsia="宋体" w:cs="Times New Roman"/>
                <w:sz w:val="21"/>
                <w:szCs w:val="22"/>
              </w:rPr>
              <w:t>工厂管道实例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4" w:type="dxa"/>
            <w:vMerge w:val="restart"/>
            <w:vAlign w:val="center"/>
          </w:tcPr>
          <w:p>
            <w:pPr>
              <w:jc w:val="center"/>
              <w:rPr>
                <w:rFonts w:ascii="Calibri" w:hAnsi="Calibri" w:eastAsia="宋体" w:cs="Times New Roman"/>
                <w:sz w:val="21"/>
                <w:szCs w:val="22"/>
              </w:rPr>
            </w:pPr>
            <w:r>
              <w:rPr>
                <w:rFonts w:ascii="Calibri" w:hAnsi="Calibri" w:eastAsia="宋体" w:cs="Times New Roman"/>
                <w:sz w:val="21"/>
                <w:szCs w:val="22"/>
              </w:rPr>
              <w:t>分类</w:t>
            </w: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介质</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t>颜色</w:t>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颜色名</w:t>
            </w:r>
          </w:p>
        </w:tc>
        <w:tc>
          <w:tcPr>
            <w:tcW w:w="1437" w:type="dxa"/>
            <w:vAlign w:val="center"/>
          </w:tcPr>
          <w:p>
            <w:pPr>
              <w:jc w:val="center"/>
              <w:rPr>
                <w:rFonts w:ascii="Calibri" w:hAnsi="Calibri" w:eastAsia="宋体" w:cs="Times New Roman"/>
                <w:sz w:val="21"/>
                <w:szCs w:val="22"/>
              </w:rPr>
            </w:pPr>
            <w:r>
              <w:rPr>
                <w:rFonts w:ascii="Calibri" w:hAnsi="Calibri" w:eastAsia="宋体" w:cs="Times New Roman"/>
                <w:sz w:val="21"/>
                <w:szCs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压缩空气</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590675" cy="247650"/>
                  <wp:effectExtent l="0" t="0" r="9525" b="0"/>
                  <wp:docPr id="30845" name="图片 3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5" name="图片 30845"/>
                          <pic:cNvPicPr>
                            <a:picLocks noChangeAspect="1"/>
                          </pic:cNvPicPr>
                        </pic:nvPicPr>
                        <pic:blipFill>
                          <a:blip r:embed="rId192"/>
                          <a:stretch>
                            <a:fillRect/>
                          </a:stretch>
                        </pic:blipFill>
                        <pic:spPr>
                          <a:xfrm>
                            <a:off x="0" y="0"/>
                            <a:ext cx="1590675" cy="247650"/>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淡灰</w:t>
            </w:r>
          </w:p>
        </w:tc>
        <w:tc>
          <w:tcPr>
            <w:tcW w:w="1437" w:type="dxa"/>
            <w:vAlign w:val="center"/>
          </w:tcPr>
          <w:p>
            <w:pPr>
              <w:jc w:val="center"/>
              <w:rPr>
                <w:rFonts w:ascii="Calibri" w:hAnsi="Calibri" w:eastAsia="宋体"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消防水</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571625" cy="257175"/>
                  <wp:effectExtent l="0" t="0" r="9525" b="9525"/>
                  <wp:docPr id="30846" name="图片 3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6" name="图片 30846"/>
                          <pic:cNvPicPr>
                            <a:picLocks noChangeAspect="1"/>
                          </pic:cNvPicPr>
                        </pic:nvPicPr>
                        <pic:blipFill>
                          <a:blip r:embed="rId191"/>
                          <a:stretch>
                            <a:fillRect/>
                          </a:stretch>
                        </pic:blipFill>
                        <pic:spPr>
                          <a:xfrm>
                            <a:off x="0" y="0"/>
                            <a:ext cx="1571625" cy="257175"/>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大红</w:t>
            </w:r>
          </w:p>
        </w:tc>
        <w:tc>
          <w:tcPr>
            <w:tcW w:w="1437" w:type="dxa"/>
            <w:vAlign w:val="center"/>
          </w:tcPr>
          <w:p>
            <w:pPr>
              <w:jc w:val="center"/>
              <w:rPr>
                <w:rFonts w:ascii="Calibri" w:hAnsi="Calibri" w:eastAsia="宋体"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氨气</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mc:AlternateContent>
                <mc:Choice Requires="wps">
                  <w:drawing>
                    <wp:anchor distT="0" distB="0" distL="114300" distR="114300" simplePos="0" relativeHeight="251659264" behindDoc="0" locked="0" layoutInCell="1" allowOverlap="1">
                      <wp:simplePos x="0" y="0"/>
                      <wp:positionH relativeFrom="column">
                        <wp:posOffset>4445</wp:posOffset>
                      </wp:positionH>
                      <wp:positionV relativeFrom="paragraph">
                        <wp:posOffset>25400</wp:posOffset>
                      </wp:positionV>
                      <wp:extent cx="1569085" cy="231775"/>
                      <wp:effectExtent l="0" t="0" r="0" b="0"/>
                      <wp:wrapNone/>
                      <wp:docPr id="7171" name="矩形 7171"/>
                      <wp:cNvGraphicFramePr/>
                      <a:graphic xmlns:a="http://schemas.openxmlformats.org/drawingml/2006/main">
                        <a:graphicData uri="http://schemas.microsoft.com/office/word/2010/wordprocessingShape">
                          <wps:wsp>
                            <wps:cNvSpPr/>
                            <wps:spPr>
                              <a:xfrm>
                                <a:off x="0" y="0"/>
                                <a:ext cx="1569085" cy="231775"/>
                              </a:xfrm>
                              <a:prstGeom prst="rect">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35pt;margin-top:2pt;height:18.25pt;width:123.55pt;z-index:251659264;v-text-anchor:middle;mso-width-relative:page;mso-height-relative:page;" fillcolor="#FFC000" filled="t" stroked="f" coordsize="21600,21600" o:gfxdata="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M//6G9MAAAAFAQAADwAAAAAAAAABACAAAAAiAAAAZHJzL2Rvd25yZXYueG1sUEsBAhQA&#10;FAAAAAgAh07iQGJG/EFpAgAAyAQAAA4AAAAAAAAAAQAgAAAAIgEAAGRycy9lMm9Eb2MueG1sUEsF&#10;BgAAAAAGAAYAWQEAAP0FAAAAAA==&#10;">
                      <v:fill on="t" focussize="0,0"/>
                      <v:stroke on="f" weight="2pt"/>
                      <v:imagedata o:title=""/>
                      <o:lock v:ext="edit" aspectratio="f"/>
                    </v:rect>
                  </w:pict>
                </mc:Fallback>
              </mc:AlternateContent>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向日葵黄</w:t>
            </w:r>
          </w:p>
        </w:tc>
        <w:tc>
          <w:tcPr>
            <w:tcW w:w="1437" w:type="dxa"/>
            <w:vAlign w:val="center"/>
          </w:tcPr>
          <w:p>
            <w:pPr>
              <w:jc w:val="center"/>
              <w:rPr>
                <w:rFonts w:ascii="Calibri" w:hAnsi="Calibri" w:eastAsia="宋体"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氮气</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562100" cy="247650"/>
                  <wp:effectExtent l="0" t="0" r="0" b="0"/>
                  <wp:docPr id="30847" name="图片 3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7" name="图片 30847"/>
                          <pic:cNvPicPr>
                            <a:picLocks noChangeAspect="1"/>
                          </pic:cNvPicPr>
                        </pic:nvPicPr>
                        <pic:blipFill>
                          <a:blip r:embed="rId193"/>
                          <a:stretch>
                            <a:fillRect/>
                          </a:stretch>
                        </pic:blipFill>
                        <pic:spPr>
                          <a:xfrm>
                            <a:off x="0" y="0"/>
                            <a:ext cx="1562100" cy="247650"/>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中黄</w:t>
            </w:r>
          </w:p>
        </w:tc>
        <w:tc>
          <w:tcPr>
            <w:tcW w:w="1437" w:type="dxa"/>
            <w:vAlign w:val="center"/>
          </w:tcPr>
          <w:p>
            <w:pPr>
              <w:jc w:val="center"/>
              <w:rPr>
                <w:rFonts w:ascii="Calibri" w:hAnsi="Calibri" w:eastAsia="宋体"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冷却水</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600200" cy="238125"/>
                  <wp:effectExtent l="0" t="0" r="0" b="9525"/>
                  <wp:docPr id="30848" name="图片 3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8" name="图片 30848"/>
                          <pic:cNvPicPr>
                            <a:picLocks noChangeAspect="1"/>
                          </pic:cNvPicPr>
                        </pic:nvPicPr>
                        <pic:blipFill>
                          <a:blip r:embed="rId190"/>
                          <a:stretch>
                            <a:fillRect/>
                          </a:stretch>
                        </pic:blipFill>
                        <pic:spPr>
                          <a:xfrm>
                            <a:off x="0" y="0"/>
                            <a:ext cx="1600200" cy="238125"/>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艳绿</w:t>
            </w:r>
          </w:p>
        </w:tc>
        <w:tc>
          <w:tcPr>
            <w:tcW w:w="1437" w:type="dxa"/>
            <w:vAlign w:val="center"/>
          </w:tcPr>
          <w:p>
            <w:pPr>
              <w:jc w:val="center"/>
              <w:rPr>
                <w:rFonts w:ascii="Calibri" w:hAnsi="Calibri" w:eastAsia="宋体"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液化天然气</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mc:AlternateContent>
                <mc:Choice Requires="wps">
                  <w:drawing>
                    <wp:anchor distT="0" distB="0" distL="114300" distR="114300" simplePos="0" relativeHeight="251660288" behindDoc="0" locked="0" layoutInCell="1" allowOverlap="1">
                      <wp:simplePos x="0" y="0"/>
                      <wp:positionH relativeFrom="column">
                        <wp:posOffset>23495</wp:posOffset>
                      </wp:positionH>
                      <wp:positionV relativeFrom="paragraph">
                        <wp:posOffset>23495</wp:posOffset>
                      </wp:positionV>
                      <wp:extent cx="1569085" cy="231775"/>
                      <wp:effectExtent l="0" t="0" r="0" b="0"/>
                      <wp:wrapNone/>
                      <wp:docPr id="7172" name="矩形 7172"/>
                      <wp:cNvGraphicFramePr/>
                      <a:graphic xmlns:a="http://schemas.openxmlformats.org/drawingml/2006/main">
                        <a:graphicData uri="http://schemas.microsoft.com/office/word/2010/wordprocessingShape">
                          <wps:wsp>
                            <wps:cNvSpPr/>
                            <wps:spPr>
                              <a:xfrm>
                                <a:off x="0" y="0"/>
                                <a:ext cx="1569085" cy="231775"/>
                              </a:xfrm>
                              <a:prstGeom prst="rect">
                                <a:avLst/>
                              </a:prstGeom>
                              <a:solidFill>
                                <a:srgbClr val="F5892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pt;margin-top:1.85pt;height:18.25pt;width:123.55pt;z-index:251660288;v-text-anchor:middle;mso-width-relative:page;mso-height-relative:page;" fillcolor="#F5892F" filled="t" stroked="f" coordsize="21600,21600" o:gfxdata="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GY0JK9UAAAAGAQAADwAAAAAAAAABACAAAAAiAAAAZHJzL2Rvd25yZXYueG1sUEsB&#10;AhQAFAAAAAgAh07iQIZyj0ZqAgAAyAQAAA4AAAAAAAAAAQAgAAAAJAEAAGRycy9lMm9Eb2MueG1s&#10;UEsFBgAAAAAGAAYAWQEAAAAGAAAAAA==&#10;">
                      <v:fill on="t" focussize="0,0"/>
                      <v:stroke on="f" weight="2pt"/>
                      <v:imagedata o:title=""/>
                      <o:lock v:ext="edit" aspectratio="f"/>
                    </v:rect>
                  </w:pict>
                </mc:Fallback>
              </mc:AlternateContent>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郁金黄</w:t>
            </w:r>
          </w:p>
        </w:tc>
        <w:tc>
          <w:tcPr>
            <w:tcW w:w="1437" w:type="dxa"/>
            <w:vAlign w:val="center"/>
          </w:tcPr>
          <w:p>
            <w:pPr>
              <w:jc w:val="center"/>
              <w:rPr>
                <w:rFonts w:ascii="Calibri" w:hAnsi="Calibri" w:eastAsia="宋体"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4" w:type="dxa"/>
            <w:vMerge w:val="continue"/>
            <w:vAlign w:val="center"/>
          </w:tcPr>
          <w:p>
            <w:pPr>
              <w:jc w:val="center"/>
              <w:rPr>
                <w:rFonts w:ascii="Calibri" w:hAnsi="Calibri" w:eastAsia="宋体" w:cs="Times New Roman"/>
                <w:sz w:val="21"/>
                <w:szCs w:val="22"/>
              </w:rPr>
            </w:pPr>
          </w:p>
        </w:tc>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氧气</w:t>
            </w:r>
          </w:p>
        </w:tc>
        <w:tc>
          <w:tcPr>
            <w:tcW w:w="2736" w:type="dxa"/>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1600200" cy="247650"/>
                  <wp:effectExtent l="0" t="0" r="0" b="0"/>
                  <wp:docPr id="30849" name="图片 3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9" name="图片 30849"/>
                          <pic:cNvPicPr>
                            <a:picLocks noChangeAspect="1"/>
                          </pic:cNvPicPr>
                        </pic:nvPicPr>
                        <pic:blipFill>
                          <a:blip r:embed="rId197"/>
                          <a:stretch>
                            <a:fillRect/>
                          </a:stretch>
                        </pic:blipFill>
                        <pic:spPr>
                          <a:xfrm>
                            <a:off x="0" y="0"/>
                            <a:ext cx="1600200" cy="247650"/>
                          </a:xfrm>
                          <a:prstGeom prst="rect">
                            <a:avLst/>
                          </a:prstGeom>
                        </pic:spPr>
                      </pic:pic>
                    </a:graphicData>
                  </a:graphic>
                </wp:inline>
              </w:drawing>
            </w:r>
          </w:p>
        </w:tc>
        <w:tc>
          <w:tcPr>
            <w:tcW w:w="1375" w:type="dxa"/>
            <w:vAlign w:val="center"/>
          </w:tcPr>
          <w:p>
            <w:pPr>
              <w:jc w:val="center"/>
              <w:rPr>
                <w:rFonts w:ascii="Calibri" w:hAnsi="Calibri" w:eastAsia="宋体" w:cs="Times New Roman"/>
                <w:sz w:val="21"/>
                <w:szCs w:val="22"/>
              </w:rPr>
            </w:pPr>
            <w:r>
              <w:rPr>
                <w:rFonts w:ascii="Calibri" w:hAnsi="Calibri" w:eastAsia="宋体" w:cs="Times New Roman"/>
                <w:sz w:val="21"/>
                <w:szCs w:val="22"/>
              </w:rPr>
              <w:t>淡蓝</w:t>
            </w:r>
          </w:p>
        </w:tc>
        <w:tc>
          <w:tcPr>
            <w:tcW w:w="1437" w:type="dxa"/>
            <w:vAlign w:val="center"/>
          </w:tcPr>
          <w:p>
            <w:pPr>
              <w:jc w:val="center"/>
              <w:rPr>
                <w:rFonts w:ascii="Calibri" w:hAnsi="Calibri" w:eastAsia="宋体" w:cs="Times New Roman"/>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说明</w:t>
            </w:r>
          </w:p>
        </w:tc>
        <w:tc>
          <w:tcPr>
            <w:tcW w:w="6922" w:type="dxa"/>
            <w:gridSpan w:val="4"/>
            <w:vAlign w:val="center"/>
          </w:tcPr>
          <w:p>
            <w:pPr>
              <w:jc w:val="left"/>
              <w:rPr>
                <w:rFonts w:ascii="Calibri" w:hAnsi="Calibri" w:eastAsia="宋体" w:cs="Times New Roman"/>
                <w:sz w:val="21"/>
                <w:szCs w:val="22"/>
              </w:rPr>
            </w:pPr>
            <w:r>
              <w:rPr>
                <w:rFonts w:ascii="Calibri" w:hAnsi="Calibri" w:eastAsia="宋体" w:cs="Times New Roman"/>
                <w:sz w:val="21"/>
                <w:szCs w:val="22"/>
              </w:rPr>
              <w:t>一般情况下能看到原色的管道都不使用色环。如果防结露管道已经包装看不到管道原色或管道未有原色，则必须使用色环，色环颜色为管道颜色。</w:t>
            </w:r>
          </w:p>
          <w:p>
            <w:pPr>
              <w:jc w:val="left"/>
              <w:rPr>
                <w:rFonts w:ascii="Calibri" w:hAnsi="Calibri" w:eastAsia="宋体" w:cs="Times New Roman"/>
                <w:b/>
                <w:sz w:val="21"/>
                <w:szCs w:val="22"/>
              </w:rPr>
            </w:pPr>
            <w:r>
              <w:rPr>
                <w:rFonts w:ascii="Calibri" w:hAnsi="Calibri" w:eastAsia="宋体" w:cs="Times New Roman"/>
                <w:b/>
                <w:sz w:val="21"/>
                <w:szCs w:val="22"/>
              </w:rPr>
              <w:t>色环设计标准：</w:t>
            </w:r>
          </w:p>
          <w:p>
            <w:pPr>
              <w:jc w:val="left"/>
              <w:rPr>
                <w:rFonts w:ascii="Calibri" w:hAnsi="Calibri" w:eastAsia="宋体" w:cs="Times New Roman"/>
                <w:sz w:val="21"/>
                <w:szCs w:val="22"/>
              </w:rPr>
            </w:pPr>
            <w:r>
              <w:rPr>
                <w:rFonts w:ascii="Calibri" w:hAnsi="Calibri" w:eastAsia="宋体" w:cs="Times New Roman"/>
                <w:sz w:val="21"/>
                <w:szCs w:val="22"/>
              </w:rPr>
              <w:t>1.色环颜色参照 “主要管道颜色管理标准”。</w:t>
            </w:r>
          </w:p>
          <w:p>
            <w:pPr>
              <w:jc w:val="left"/>
              <w:rPr>
                <w:rFonts w:ascii="Calibri" w:hAnsi="Calibri" w:eastAsia="宋体" w:cs="Times New Roman"/>
                <w:sz w:val="21"/>
                <w:szCs w:val="22"/>
              </w:rPr>
            </w:pPr>
            <w:r>
              <w:rPr>
                <w:rFonts w:ascii="Calibri" w:hAnsi="Calibri" w:eastAsia="宋体" w:cs="Times New Roman"/>
                <w:sz w:val="21"/>
                <w:szCs w:val="22"/>
              </w:rPr>
              <w:t>2.字体颜色根据色环颜色决定。文字和箭头统一用黑色或白色。</w:t>
            </w:r>
          </w:p>
          <w:p>
            <w:pPr>
              <w:jc w:val="left"/>
              <w:rPr>
                <w:rFonts w:ascii="Calibri" w:hAnsi="Calibri" w:eastAsia="宋体" w:cs="Times New Roman"/>
                <w:sz w:val="21"/>
                <w:szCs w:val="22"/>
              </w:rPr>
            </w:pPr>
            <w:r>
              <w:rPr>
                <w:rFonts w:ascii="Calibri" w:hAnsi="Calibri" w:eastAsia="宋体" w:cs="Times New Roman"/>
                <w:sz w:val="21"/>
                <w:szCs w:val="22"/>
              </w:rPr>
              <w:t>3.规格：150×25mm。</w:t>
            </w:r>
          </w:p>
          <w:p>
            <w:pPr>
              <w:jc w:val="left"/>
              <w:rPr>
                <w:rFonts w:ascii="Calibri" w:hAnsi="Calibri" w:eastAsia="宋体" w:cs="Times New Roman"/>
                <w:sz w:val="21"/>
                <w:szCs w:val="22"/>
              </w:rPr>
            </w:pPr>
            <w:r>
              <w:rPr>
                <w:rFonts w:ascii="Calibri" w:hAnsi="Calibri" w:eastAsia="宋体" w:cs="Times New Roman"/>
                <w:sz w:val="21"/>
                <w:szCs w:val="22"/>
              </w:rPr>
              <w:t>3.粘贴位置为管道正面明显处，管道转弯的地方、穿墙处、管道交叉处和直管每隔5-10m处张贴。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Align w:val="center"/>
          </w:tcPr>
          <w:p>
            <w:pPr>
              <w:jc w:val="center"/>
              <w:rPr>
                <w:rFonts w:ascii="Calibri" w:hAnsi="Calibri" w:eastAsia="宋体" w:cs="Times New Roman"/>
                <w:sz w:val="21"/>
                <w:szCs w:val="22"/>
              </w:rPr>
            </w:pPr>
            <w:r>
              <w:rPr>
                <w:rFonts w:ascii="Calibri" w:hAnsi="Calibri" w:eastAsia="宋体" w:cs="Times New Roman"/>
                <w:sz w:val="21"/>
                <w:szCs w:val="22"/>
              </w:rPr>
              <w:t>示例</w:t>
            </w:r>
          </w:p>
        </w:tc>
        <w:tc>
          <w:tcPr>
            <w:tcW w:w="6922" w:type="dxa"/>
            <w:gridSpan w:val="4"/>
            <w:vAlign w:val="center"/>
          </w:tcPr>
          <w:p>
            <w:pPr>
              <w:jc w:val="center"/>
              <w:rPr>
                <w:rFonts w:ascii="Calibri" w:hAnsi="Calibri" w:eastAsia="宋体" w:cs="Times New Roman"/>
                <w:sz w:val="21"/>
                <w:szCs w:val="22"/>
              </w:rPr>
            </w:pPr>
            <w:r>
              <w:rPr>
                <w:rFonts w:ascii="Calibri" w:hAnsi="Calibri" w:eastAsia="宋体" w:cs="Times New Roman"/>
                <w:sz w:val="21"/>
                <w:szCs w:val="22"/>
              </w:rPr>
              <w:drawing>
                <wp:inline distT="0" distB="0" distL="0" distR="0">
                  <wp:extent cx="2532380" cy="1835150"/>
                  <wp:effectExtent l="0" t="0" r="1270" b="0"/>
                  <wp:docPr id="30850" name="图片 3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0" name="图片 30850"/>
                          <pic:cNvPicPr>
                            <a:picLocks noChangeAspect="1"/>
                          </pic:cNvPicPr>
                        </pic:nvPicPr>
                        <pic:blipFill>
                          <a:blip r:embed="rId198"/>
                          <a:stretch>
                            <a:fillRect/>
                          </a:stretch>
                        </pic:blipFill>
                        <pic:spPr>
                          <a:xfrm>
                            <a:off x="0" y="0"/>
                            <a:ext cx="2575466" cy="1866330"/>
                          </a:xfrm>
                          <a:prstGeom prst="rect">
                            <a:avLst/>
                          </a:prstGeom>
                        </pic:spPr>
                      </pic:pic>
                    </a:graphicData>
                  </a:graphic>
                </wp:inline>
              </w:drawing>
            </w:r>
          </w:p>
        </w:tc>
      </w:tr>
    </w:tbl>
    <w:p>
      <w:pPr>
        <w:spacing w:line="360" w:lineRule="auto"/>
        <w:ind w:firstLine="480" w:firstLineChars="200"/>
        <w:rPr>
          <w:rFonts w:eastAsia="宋体" w:cs="Times New Roman"/>
          <w:sz w:val="24"/>
        </w:rPr>
      </w:pPr>
      <w:r>
        <w:rPr>
          <w:rFonts w:eastAsia="宋体" w:cs="Times New Roman"/>
          <w:sz w:val="24"/>
        </w:rPr>
        <w:t>（三）地标线标识</w:t>
      </w:r>
    </w:p>
    <w:p>
      <w:pPr>
        <w:pStyle w:val="2"/>
        <w:jc w:val="center"/>
        <w:rPr>
          <w:sz w:val="21"/>
          <w:szCs w:val="21"/>
        </w:rPr>
      </w:pPr>
      <w:r>
        <w:rPr>
          <w:rFonts w:hint="eastAsia"/>
          <w:sz w:val="21"/>
          <w:szCs w:val="21"/>
        </w:rPr>
        <w:t>表1</w:t>
      </w:r>
      <w:r>
        <w:rPr>
          <w:sz w:val="21"/>
          <w:szCs w:val="21"/>
        </w:rPr>
        <w:t>4.3</w:t>
      </w:r>
      <w:r>
        <w:rPr>
          <w:rFonts w:hint="eastAsia"/>
          <w:sz w:val="21"/>
          <w:szCs w:val="21"/>
        </w:rPr>
        <w:t>-</w:t>
      </w:r>
      <w:r>
        <w:rPr>
          <w:sz w:val="21"/>
          <w:szCs w:val="21"/>
        </w:rPr>
        <w:t>3</w:t>
      </w:r>
      <w:r>
        <w:rPr>
          <w:rFonts w:hint="eastAsia"/>
          <w:sz w:val="21"/>
          <w:szCs w:val="21"/>
        </w:rPr>
        <w:t>地线标识示例</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3"/>
        <w:gridCol w:w="1694"/>
        <w:gridCol w:w="1704"/>
        <w:gridCol w:w="2082"/>
        <w:gridCol w:w="1644"/>
        <w:gridCol w:w="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jc w:val="center"/>
              <w:rPr>
                <w:rFonts w:ascii="Calibri" w:hAnsi="Calibri" w:eastAsia="宋体" w:cs="Times New Roman"/>
                <w:sz w:val="21"/>
                <w:szCs w:val="21"/>
              </w:rPr>
            </w:pPr>
            <w:r>
              <w:rPr>
                <w:rFonts w:ascii="Calibri" w:hAnsi="Calibri" w:eastAsia="宋体" w:cs="Times New Roman"/>
                <w:sz w:val="21"/>
                <w:szCs w:val="21"/>
              </w:rPr>
              <w:t>目的</w:t>
            </w:r>
          </w:p>
        </w:tc>
        <w:tc>
          <w:tcPr>
            <w:tcW w:w="7133" w:type="dxa"/>
            <w:gridSpan w:val="5"/>
            <w:vAlign w:val="center"/>
          </w:tcPr>
          <w:p>
            <w:pPr>
              <w:jc w:val="center"/>
              <w:rPr>
                <w:rFonts w:ascii="Calibri" w:hAnsi="Calibri" w:eastAsia="宋体" w:cs="Times New Roman"/>
                <w:sz w:val="21"/>
                <w:szCs w:val="21"/>
              </w:rPr>
            </w:pPr>
            <w:r>
              <w:rPr>
                <w:rFonts w:ascii="Calibri" w:hAnsi="Calibri" w:eastAsia="宋体" w:cs="Times New Roman"/>
                <w:sz w:val="21"/>
                <w:szCs w:val="21"/>
              </w:rPr>
              <w:t>对现场进行颜色、分类管理，使现场规范化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jc w:val="center"/>
              <w:rPr>
                <w:rFonts w:ascii="Calibri" w:hAnsi="Calibri" w:eastAsia="宋体" w:cs="Times New Roman"/>
                <w:sz w:val="21"/>
                <w:szCs w:val="21"/>
              </w:rPr>
            </w:pPr>
            <w:r>
              <w:rPr>
                <w:rFonts w:ascii="Calibri" w:hAnsi="Calibri" w:eastAsia="宋体" w:cs="Times New Roman"/>
                <w:sz w:val="21"/>
                <w:szCs w:val="21"/>
              </w:rPr>
              <w:t>对象</w:t>
            </w:r>
          </w:p>
        </w:tc>
        <w:tc>
          <w:tcPr>
            <w:tcW w:w="7133" w:type="dxa"/>
            <w:gridSpan w:val="5"/>
            <w:vAlign w:val="center"/>
          </w:tcPr>
          <w:p>
            <w:pPr>
              <w:jc w:val="center"/>
              <w:rPr>
                <w:rFonts w:ascii="Calibri" w:hAnsi="Calibri" w:eastAsia="宋体" w:cs="Times New Roman"/>
                <w:sz w:val="21"/>
                <w:szCs w:val="21"/>
              </w:rPr>
            </w:pPr>
            <w:r>
              <w:rPr>
                <w:rFonts w:ascii="Calibri" w:hAnsi="Calibri" w:eastAsia="宋体" w:cs="Times New Roman"/>
                <w:sz w:val="21"/>
                <w:szCs w:val="21"/>
              </w:rPr>
              <w:t>生产车间所有现场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restart"/>
            <w:vAlign w:val="center"/>
          </w:tcPr>
          <w:p>
            <w:pPr>
              <w:jc w:val="center"/>
              <w:rPr>
                <w:rFonts w:ascii="Calibri" w:hAnsi="Calibri" w:eastAsia="宋体" w:cs="Times New Roman"/>
                <w:sz w:val="21"/>
                <w:szCs w:val="21"/>
              </w:rPr>
            </w:pPr>
            <w:r>
              <w:rPr>
                <w:rFonts w:ascii="Calibri" w:hAnsi="Calibri" w:eastAsia="宋体" w:cs="Times New Roman"/>
                <w:sz w:val="21"/>
                <w:szCs w:val="21"/>
              </w:rPr>
              <w:t>分类</w:t>
            </w: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项目</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规格</w:t>
            </w:r>
          </w:p>
        </w:tc>
        <w:tc>
          <w:tcPr>
            <w:tcW w:w="2082" w:type="dxa"/>
            <w:vAlign w:val="center"/>
          </w:tcPr>
          <w:p>
            <w:pPr>
              <w:jc w:val="center"/>
              <w:rPr>
                <w:rFonts w:ascii="Calibri" w:hAnsi="Calibri" w:eastAsia="宋体" w:cs="Times New Roman"/>
                <w:sz w:val="21"/>
                <w:szCs w:val="21"/>
              </w:rPr>
            </w:pPr>
            <w:r>
              <w:rPr>
                <w:rFonts w:ascii="Calibri" w:hAnsi="Calibri" w:eastAsia="宋体" w:cs="Times New Roman"/>
                <w:sz w:val="21"/>
                <w:szCs w:val="21"/>
              </w:rPr>
              <w:t>名称</w:t>
            </w:r>
          </w:p>
        </w:tc>
        <w:tc>
          <w:tcPr>
            <w:tcW w:w="1644" w:type="dxa"/>
            <w:vAlign w:val="center"/>
          </w:tcPr>
          <w:p>
            <w:pPr>
              <w:jc w:val="center"/>
              <w:rPr>
                <w:rFonts w:ascii="Calibri" w:hAnsi="Calibri" w:eastAsia="宋体" w:cs="Times New Roman"/>
                <w:sz w:val="21"/>
                <w:szCs w:val="21"/>
              </w:rPr>
            </w:pPr>
            <w:r>
              <w:rPr>
                <w:rFonts w:ascii="Calibri" w:hAnsi="Calibri" w:eastAsia="宋体" w:cs="Times New Roman"/>
                <w:sz w:val="21"/>
                <w:szCs w:val="21"/>
              </w:rPr>
              <w:t>图例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现场电气柜</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 mm</w:t>
            </w:r>
          </w:p>
        </w:tc>
        <w:tc>
          <w:tcPr>
            <w:tcW w:w="2082" w:type="dxa"/>
            <w:vMerge w:val="restart"/>
            <w:vAlign w:val="center"/>
          </w:tcPr>
          <w:p>
            <w:pPr>
              <w:jc w:val="center"/>
              <w:rPr>
                <w:rFonts w:ascii="Calibri" w:hAnsi="Calibri" w:eastAsia="宋体" w:cs="Times New Roman"/>
                <w:sz w:val="21"/>
                <w:szCs w:val="21"/>
              </w:rPr>
            </w:pPr>
            <w:r>
              <w:rPr>
                <w:rFonts w:ascii="Calibri" w:hAnsi="Calibri" w:eastAsia="宋体" w:cs="Times New Roman"/>
                <w:sz w:val="21"/>
                <w:szCs w:val="21"/>
              </w:rPr>
              <w:t>红色实线</w:t>
            </w:r>
          </w:p>
        </w:tc>
        <w:tc>
          <w:tcPr>
            <w:tcW w:w="1644" w:type="dxa"/>
            <w:vMerge w:val="restart"/>
            <w:vAlign w:val="center"/>
          </w:tcPr>
          <w:p>
            <w:pPr>
              <w:jc w:val="center"/>
              <w:rPr>
                <w:rFonts w:ascii="Calibri" w:hAnsi="Calibri" w:eastAsia="宋体" w:cs="Times New Roman"/>
                <w:sz w:val="21"/>
                <w:szCs w:val="21"/>
              </w:rPr>
            </w:pPr>
            <w:r>
              <w:rPr>
                <w:rFonts w:ascii="Calibri" w:hAnsi="Calibri" w:eastAsia="宋体" w:cs="Times New Roman"/>
                <w:sz w:val="21"/>
                <w:szCs w:val="21"/>
              </w:rPr>
              <mc:AlternateContent>
                <mc:Choice Requires="wps">
                  <w:drawing>
                    <wp:anchor distT="0" distB="0" distL="114300" distR="114300" simplePos="0" relativeHeight="251664384" behindDoc="0" locked="0" layoutInCell="1" allowOverlap="1">
                      <wp:simplePos x="0" y="0"/>
                      <wp:positionH relativeFrom="column">
                        <wp:posOffset>-14605</wp:posOffset>
                      </wp:positionH>
                      <wp:positionV relativeFrom="paragraph">
                        <wp:posOffset>27305</wp:posOffset>
                      </wp:positionV>
                      <wp:extent cx="914400" cy="188595"/>
                      <wp:effectExtent l="0" t="0" r="0" b="1905"/>
                      <wp:wrapNone/>
                      <wp:docPr id="15425" name="Rectangle 150"/>
                      <wp:cNvGraphicFramePr/>
                      <a:graphic xmlns:a="http://schemas.openxmlformats.org/drawingml/2006/main">
                        <a:graphicData uri="http://schemas.microsoft.com/office/word/2010/wordprocessingShape">
                          <wps:wsp>
                            <wps:cNvSpPr/>
                            <wps:spPr bwMode="auto">
                              <a:xfrm>
                                <a:off x="0" y="0"/>
                                <a:ext cx="914400" cy="188595"/>
                              </a:xfrm>
                              <a:prstGeom prst="rect">
                                <a:avLst/>
                              </a:prstGeom>
                              <a:solidFill>
                                <a:srgbClr val="FF0000"/>
                              </a:solidFill>
                              <a:ln>
                                <a:noFill/>
                              </a:ln>
                              <a:effectLst/>
                            </wps:spPr>
                            <wps:bodyPr lIns="72248" tIns="72248" rIns="72248" bIns="72248" anchor="ctr"/>
                          </wps:wsp>
                        </a:graphicData>
                      </a:graphic>
                    </wp:anchor>
                  </w:drawing>
                </mc:Choice>
                <mc:Fallback>
                  <w:pict>
                    <v:rect id="Rectangle 150" o:spid="_x0000_s1026" o:spt="1" style="position:absolute;left:0pt;margin-left:-1.15pt;margin-top:2.15pt;height:14.85pt;width:72pt;z-index:251664384;v-text-anchor:middle;mso-width-relative:page;mso-height-relative:page;" fillcolor="#FF0000" filled="t" stroked="f" coordsize="21600,21600" o:gfxdata="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AVsOa9gAAAAHAQAADwAAAAAAAAABACAAAAAiAAAA&#10;ZHJzL2Rvd25yZXYueG1sUEsBAhQAFAAAAAgAh07iQCEOSdfOAQAAuAMAAA4AAAAAAAAAAQAgAAAA&#10;JwEAAGRycy9lMm9Eb2MueG1sUEsFBgAAAAAGAAYAWQEAAGcFAAAAAA==&#10;">
                      <v:fill on="t" focussize="0,0"/>
                      <v:stroke on="f"/>
                      <v:imagedata o:title=""/>
                      <o:lock v:ext="edit" aspectratio="f"/>
                      <v:textbox inset="5.6888188976378pt,5.6888188976378pt,5.6888188976378pt,5.6888188976378pt"/>
                    </v:rect>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消防设施</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 mm</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危险区域</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 mm</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大型设备</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100 mm</w:t>
            </w:r>
          </w:p>
        </w:tc>
        <w:tc>
          <w:tcPr>
            <w:tcW w:w="2082" w:type="dxa"/>
            <w:vMerge w:val="restart"/>
            <w:vAlign w:val="center"/>
          </w:tcPr>
          <w:p>
            <w:pPr>
              <w:jc w:val="center"/>
              <w:rPr>
                <w:rFonts w:ascii="Calibri" w:hAnsi="Calibri" w:eastAsia="宋体" w:cs="Times New Roman"/>
                <w:sz w:val="21"/>
                <w:szCs w:val="21"/>
              </w:rPr>
            </w:pPr>
            <w:r>
              <w:rPr>
                <w:rFonts w:ascii="Calibri" w:hAnsi="Calibri" w:eastAsia="宋体" w:cs="Times New Roman"/>
                <w:sz w:val="21"/>
                <w:szCs w:val="21"/>
              </w:rPr>
              <w:t>黄色或白色实线</w:t>
            </w:r>
          </w:p>
        </w:tc>
        <w:tc>
          <w:tcPr>
            <w:tcW w:w="1644" w:type="dxa"/>
            <w:vMerge w:val="restart"/>
            <w:vAlign w:val="center"/>
          </w:tcPr>
          <w:p>
            <w:pPr>
              <w:jc w:val="center"/>
              <w:rPr>
                <w:rFonts w:ascii="Calibri" w:hAnsi="Calibri" w:eastAsia="宋体" w:cs="Times New Roman"/>
                <w:sz w:val="21"/>
                <w:szCs w:val="21"/>
              </w:rPr>
            </w:pPr>
            <w:r>
              <w:rPr>
                <w:rFonts w:ascii="Calibri" w:hAnsi="Calibri" w:eastAsia="宋体" w:cs="Times New Roman"/>
                <w:sz w:val="21"/>
                <w:szCs w:val="21"/>
              </w:rPr>
              <mc:AlternateContent>
                <mc:Choice Requires="wps">
                  <w:drawing>
                    <wp:anchor distT="0" distB="0" distL="114300" distR="114300" simplePos="0" relativeHeight="251668480" behindDoc="0" locked="0" layoutInCell="1" allowOverlap="1">
                      <wp:simplePos x="0" y="0"/>
                      <wp:positionH relativeFrom="column">
                        <wp:posOffset>0</wp:posOffset>
                      </wp:positionH>
                      <wp:positionV relativeFrom="paragraph">
                        <wp:posOffset>998855</wp:posOffset>
                      </wp:positionV>
                      <wp:extent cx="935355" cy="167640"/>
                      <wp:effectExtent l="0" t="0" r="0" b="3810"/>
                      <wp:wrapNone/>
                      <wp:docPr id="7173" name="Rectangle 151"/>
                      <wp:cNvGraphicFramePr/>
                      <a:graphic xmlns:a="http://schemas.openxmlformats.org/drawingml/2006/main">
                        <a:graphicData uri="http://schemas.microsoft.com/office/word/2010/wordprocessingShape">
                          <wps:wsp>
                            <wps:cNvSpPr/>
                            <wps:spPr bwMode="auto">
                              <a:xfrm>
                                <a:off x="0" y="0"/>
                                <a:ext cx="935355" cy="167640"/>
                              </a:xfrm>
                              <a:prstGeom prst="rect">
                                <a:avLst/>
                              </a:prstGeom>
                              <a:solidFill>
                                <a:sysClr val="window" lastClr="FFFFFF">
                                  <a:lumMod val="95000"/>
                                </a:sysClr>
                              </a:solidFill>
                              <a:ln>
                                <a:noFill/>
                              </a:ln>
                              <a:effectLst/>
                            </wps:spPr>
                            <wps:bodyPr lIns="72248" tIns="72248" rIns="72248" bIns="72248" anchor="ctr"/>
                          </wps:wsp>
                        </a:graphicData>
                      </a:graphic>
                    </wp:anchor>
                  </w:drawing>
                </mc:Choice>
                <mc:Fallback>
                  <w:pict>
                    <v:rect id="Rectangle 151" o:spid="_x0000_s1026" o:spt="1" style="position:absolute;left:0pt;margin-left:0pt;margin-top:78.65pt;height:13.2pt;width:73.65pt;z-index:251668480;v-text-anchor:middle;mso-width-relative:page;mso-height-relative:page;" fillcolor="#F2F2F2" filled="t" stroked="f" coordsize="21600,21600" o:gfxdata="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MbWe1AAA&#10;AAgBAAAPAAAAAAAAAAEAIAAAACIAAABkcnMvZG93bnJldi54bWxQSwECFAAUAAAACACHTuJAf0Pp&#10;BOkBAADoAwAADgAAAAAAAAABACAAAAAjAQAAZHJzL2Uyb0RvYy54bWxQSwUGAAAAAAYABgBZAQAA&#10;fgUAAAAA&#10;">
                      <v:fill on="t" focussize="0,0"/>
                      <v:stroke on="f"/>
                      <v:imagedata o:title=""/>
                      <o:lock v:ext="edit" aspectratio="f"/>
                      <v:textbox inset="5.6888188976378pt,5.6888188976378pt,5.6888188976378pt,5.6888188976378pt"/>
                    </v:rect>
                  </w:pict>
                </mc:Fallback>
              </mc:AlternateContent>
            </w:r>
            <w:r>
              <w:rPr>
                <w:rFonts w:ascii="Calibri" w:hAnsi="Calibri" w:eastAsia="宋体" w:cs="Times New Roman"/>
                <w:sz w:val="21"/>
                <w:szCs w:val="21"/>
              </w:rPr>
              <mc:AlternateContent>
                <mc:Choice Requires="wps">
                  <w:drawing>
                    <wp:anchor distT="0" distB="0" distL="114300" distR="114300" simplePos="0" relativeHeight="251666432" behindDoc="0" locked="0" layoutInCell="1" allowOverlap="1">
                      <wp:simplePos x="0" y="0"/>
                      <wp:positionH relativeFrom="column">
                        <wp:posOffset>1270</wp:posOffset>
                      </wp:positionH>
                      <wp:positionV relativeFrom="paragraph">
                        <wp:posOffset>521335</wp:posOffset>
                      </wp:positionV>
                      <wp:extent cx="935355" cy="167640"/>
                      <wp:effectExtent l="0" t="0" r="0" b="3810"/>
                      <wp:wrapNone/>
                      <wp:docPr id="15426" name="Rectangle 151"/>
                      <wp:cNvGraphicFramePr/>
                      <a:graphic xmlns:a="http://schemas.openxmlformats.org/drawingml/2006/main">
                        <a:graphicData uri="http://schemas.microsoft.com/office/word/2010/wordprocessingShape">
                          <wps:wsp>
                            <wps:cNvSpPr/>
                            <wps:spPr bwMode="auto">
                              <a:xfrm>
                                <a:off x="0" y="0"/>
                                <a:ext cx="935355" cy="167640"/>
                              </a:xfrm>
                              <a:prstGeom prst="rect">
                                <a:avLst/>
                              </a:prstGeom>
                              <a:solidFill>
                                <a:srgbClr val="FFFF00"/>
                              </a:solidFill>
                              <a:ln>
                                <a:noFill/>
                              </a:ln>
                              <a:effectLst/>
                            </wps:spPr>
                            <wps:bodyPr lIns="72248" tIns="72248" rIns="72248" bIns="72248" anchor="ctr"/>
                          </wps:wsp>
                        </a:graphicData>
                      </a:graphic>
                    </wp:anchor>
                  </w:drawing>
                </mc:Choice>
                <mc:Fallback>
                  <w:pict>
                    <v:rect id="Rectangle 151" o:spid="_x0000_s1026" o:spt="1" style="position:absolute;left:0pt;margin-left:0.1pt;margin-top:41.05pt;height:13.2pt;width:73.65pt;z-index:251666432;v-text-anchor:middle;mso-width-relative:page;mso-height-relative:page;" fillcolor="#FFFF00" filled="t" stroked="f" coordsize="21600,21600" o:gfxdata="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OgjzLNUAAAAHAQAADwAAAAAAAAABACAAAAAiAAAA&#10;ZHJzL2Rvd25yZXYueG1sUEsBAhQAFAAAAAgAh07iQG9MAB3RAQAAuAMAAA4AAAAAAAAAAQAgAAAA&#10;JAEAAGRycy9lMm9Eb2MueG1sUEsFBgAAAAAGAAYAWQEAAGcFAAAAAA==&#10;">
                      <v:fill on="t" focussize="0,0"/>
                      <v:stroke on="f"/>
                      <v:imagedata o:title=""/>
                      <o:lock v:ext="edit" aspectratio="f"/>
                      <v:textbox inset="5.6888188976378pt,5.6888188976378pt,5.6888188976378pt,5.6888188976378pt"/>
                    </v:rect>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中小型设备</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 mm</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货架</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 mm</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一般物品</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 mm</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清扫工具</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 mm</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工作区域</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 mm</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安全通道</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50-100 mm</w:t>
            </w:r>
          </w:p>
        </w:tc>
        <w:tc>
          <w:tcPr>
            <w:tcW w:w="2082" w:type="dxa"/>
            <w:vMerge w:val="restart"/>
            <w:vAlign w:val="center"/>
          </w:tcPr>
          <w:p>
            <w:pPr>
              <w:jc w:val="center"/>
              <w:rPr>
                <w:rFonts w:ascii="Calibri" w:hAnsi="Calibri" w:eastAsia="宋体" w:cs="Times New Roman"/>
                <w:sz w:val="21"/>
                <w:szCs w:val="21"/>
              </w:rPr>
            </w:pPr>
            <w:r>
              <w:rPr>
                <w:rFonts w:ascii="Calibri" w:hAnsi="Calibri" w:eastAsia="宋体" w:cs="Times New Roman"/>
                <w:sz w:val="21"/>
                <w:szCs w:val="21"/>
              </w:rPr>
              <w:t>黄色实线</w:t>
            </w:r>
          </w:p>
        </w:tc>
        <w:tc>
          <w:tcPr>
            <w:tcW w:w="1644" w:type="dxa"/>
            <w:vMerge w:val="restart"/>
            <w:vAlign w:val="center"/>
          </w:tcPr>
          <w:p>
            <w:pPr>
              <w:jc w:val="center"/>
              <w:rPr>
                <w:rFonts w:ascii="Calibri" w:hAnsi="Calibri" w:eastAsia="宋体" w:cs="Times New Roman"/>
                <w:sz w:val="21"/>
                <w:szCs w:val="21"/>
              </w:rPr>
            </w:pPr>
            <w:r>
              <w:rPr>
                <w:rFonts w:ascii="Calibri" w:hAnsi="Calibri" w:eastAsia="宋体" w:cs="Times New Roman"/>
                <w:sz w:val="21"/>
                <w:szCs w:val="21"/>
              </w:rPr>
              <mc:AlternateContent>
                <mc:Choice Requires="wps">
                  <w:drawing>
                    <wp:anchor distT="0" distB="0" distL="114300" distR="114300" simplePos="0" relativeHeight="251670528" behindDoc="0" locked="0" layoutInCell="1" allowOverlap="1">
                      <wp:simplePos x="0" y="0"/>
                      <wp:positionH relativeFrom="column">
                        <wp:posOffset>-19050</wp:posOffset>
                      </wp:positionH>
                      <wp:positionV relativeFrom="paragraph">
                        <wp:posOffset>57785</wp:posOffset>
                      </wp:positionV>
                      <wp:extent cx="935355" cy="167640"/>
                      <wp:effectExtent l="0" t="0" r="0" b="3810"/>
                      <wp:wrapNone/>
                      <wp:docPr id="7182" name="Rectangle 151"/>
                      <wp:cNvGraphicFramePr/>
                      <a:graphic xmlns:a="http://schemas.openxmlformats.org/drawingml/2006/main">
                        <a:graphicData uri="http://schemas.microsoft.com/office/word/2010/wordprocessingShape">
                          <wps:wsp>
                            <wps:cNvSpPr/>
                            <wps:spPr bwMode="auto">
                              <a:xfrm>
                                <a:off x="0" y="0"/>
                                <a:ext cx="935355" cy="167640"/>
                              </a:xfrm>
                              <a:prstGeom prst="rect">
                                <a:avLst/>
                              </a:prstGeom>
                              <a:solidFill>
                                <a:srgbClr val="FFFF00"/>
                              </a:solidFill>
                              <a:ln>
                                <a:noFill/>
                              </a:ln>
                              <a:effectLst/>
                            </wps:spPr>
                            <wps:bodyPr lIns="72248" tIns="72248" rIns="72248" bIns="72248" anchor="ctr"/>
                          </wps:wsp>
                        </a:graphicData>
                      </a:graphic>
                    </wp:anchor>
                  </w:drawing>
                </mc:Choice>
                <mc:Fallback>
                  <w:pict>
                    <v:rect id="Rectangle 151" o:spid="_x0000_s1026" o:spt="1" style="position:absolute;left:0pt;margin-left:-1.5pt;margin-top:4.55pt;height:13.2pt;width:73.65pt;z-index:251670528;v-text-anchor:middle;mso-width-relative:page;mso-height-relative:page;" fillcolor="#FFFF00" filled="t" stroked="f" coordsize="21600,21600" o:gfxdata="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NzIjdNYAAAAHAQAADwAAAAAAAAABACAAAAAiAAAA&#10;ZHJzL2Rvd25yZXYueG1sUEsBAhQAFAAAAAgAh07iQMXhaqHQAQAAtwMAAA4AAAAAAAAAAQAgAAAA&#10;JQEAAGRycy9lMm9Eb2MueG1sUEsFBgAAAAAGAAYAWQEAAGcFAAAAAA==&#10;">
                      <v:fill on="t" focussize="0,0"/>
                      <v:stroke on="f"/>
                      <v:imagedata o:title=""/>
                      <o:lock v:ext="edit" aspectratio="f"/>
                      <v:textbox inset="5.6888188976378pt,5.6888188976378pt,5.6888188976378pt,5.6888188976378pt"/>
                    </v:rect>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楼梯</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150 mm</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可移动物品区</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 mm</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厂内道路中心线</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50-100 mm</w:t>
            </w:r>
          </w:p>
        </w:tc>
        <w:tc>
          <w:tcPr>
            <w:tcW w:w="2082" w:type="dxa"/>
            <w:vAlign w:val="center"/>
          </w:tcPr>
          <w:p>
            <w:pPr>
              <w:jc w:val="center"/>
              <w:rPr>
                <w:rFonts w:ascii="Calibri" w:hAnsi="Calibri" w:eastAsia="宋体" w:cs="Times New Roman"/>
                <w:sz w:val="21"/>
                <w:szCs w:val="21"/>
              </w:rPr>
            </w:pPr>
            <w:r>
              <w:rPr>
                <w:rFonts w:ascii="Calibri" w:hAnsi="Calibri" w:eastAsia="宋体" w:cs="Times New Roman"/>
                <w:sz w:val="21"/>
                <w:szCs w:val="21"/>
              </w:rPr>
              <w:t>黄色实线或虚线</w:t>
            </w:r>
          </w:p>
        </w:tc>
        <w:tc>
          <w:tcPr>
            <w:tcW w:w="1644" w:type="dxa"/>
            <w:vAlign w:val="center"/>
          </w:tcPr>
          <w:p>
            <w:pPr>
              <w:jc w:val="center"/>
              <w:rPr>
                <w:rFonts w:ascii="Calibri" w:hAnsi="Calibri" w:eastAsia="宋体" w:cs="Times New Roman"/>
                <w:sz w:val="21"/>
                <w:szCs w:val="21"/>
              </w:rPr>
            </w:pPr>
            <w:r>
              <w:rPr>
                <w:rFonts w:ascii="Calibri" w:hAnsi="Calibri"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611" w:hRule="atLeast"/>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门的轨迹</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50mm</w:t>
            </w:r>
          </w:p>
        </w:tc>
        <w:tc>
          <w:tcPr>
            <w:tcW w:w="2082" w:type="dxa"/>
            <w:vAlign w:val="center"/>
          </w:tcPr>
          <w:p>
            <w:pPr>
              <w:jc w:val="center"/>
              <w:rPr>
                <w:rFonts w:ascii="Calibri" w:hAnsi="Calibri" w:eastAsia="宋体" w:cs="Times New Roman"/>
                <w:sz w:val="21"/>
                <w:szCs w:val="21"/>
              </w:rPr>
            </w:pPr>
            <w:r>
              <w:rPr>
                <w:rFonts w:ascii="Calibri" w:hAnsi="Calibri" w:eastAsia="宋体" w:cs="Times New Roman"/>
                <w:sz w:val="21"/>
                <w:szCs w:val="21"/>
              </w:rPr>
              <w:t>黄色虚线</w:t>
            </w:r>
          </w:p>
        </w:tc>
        <w:tc>
          <w:tcPr>
            <w:tcW w:w="1644" w:type="dxa"/>
            <w:vAlign w:val="center"/>
          </w:tcPr>
          <w:p>
            <w:pPr>
              <w:jc w:val="center"/>
              <w:rPr>
                <w:rFonts w:ascii="Calibri" w:hAnsi="Calibri" w:eastAsia="宋体" w:cs="Times New Roman"/>
                <w:sz w:val="21"/>
                <w:szCs w:val="21"/>
              </w:rPr>
            </w:pPr>
            <w:r>
              <w:rPr>
                <w:rFonts w:ascii="Calibri" w:hAnsi="Calibri" w:eastAsia="宋体" w:cs="Times New Roman"/>
                <w:sz w:val="21"/>
                <w:szCs w:val="21"/>
              </w:rPr>
              <mc:AlternateContent>
                <mc:Choice Requires="wpg">
                  <w:drawing>
                    <wp:anchor distT="0" distB="0" distL="114300" distR="114300" simplePos="0" relativeHeight="251661312" behindDoc="0" locked="0" layoutInCell="1" allowOverlap="1">
                      <wp:simplePos x="0" y="0"/>
                      <wp:positionH relativeFrom="column">
                        <wp:posOffset>1905</wp:posOffset>
                      </wp:positionH>
                      <wp:positionV relativeFrom="paragraph">
                        <wp:posOffset>45085</wp:posOffset>
                      </wp:positionV>
                      <wp:extent cx="873125" cy="250825"/>
                      <wp:effectExtent l="0" t="0" r="22225" b="15875"/>
                      <wp:wrapNone/>
                      <wp:docPr id="7184" name="Group 152"/>
                      <wp:cNvGraphicFramePr/>
                      <a:graphic xmlns:a="http://schemas.openxmlformats.org/drawingml/2006/main">
                        <a:graphicData uri="http://schemas.microsoft.com/office/word/2010/wordprocessingGroup">
                          <wpg:wgp>
                            <wpg:cNvGrpSpPr/>
                            <wpg:grpSpPr>
                              <a:xfrm>
                                <a:off x="0" y="0"/>
                                <a:ext cx="873125" cy="250825"/>
                                <a:chOff x="0" y="0"/>
                                <a:chExt cx="144" cy="33"/>
                              </a:xfrm>
                            </wpg:grpSpPr>
                            <wps:wsp>
                              <wps:cNvPr id="7185" name="Rectangle 153"/>
                              <wps:cNvSpPr/>
                              <wps:spPr bwMode="auto">
                                <a:xfrm>
                                  <a:off x="0" y="0"/>
                                  <a:ext cx="36" cy="33"/>
                                </a:xfrm>
                                <a:prstGeom prst="rect">
                                  <a:avLst/>
                                </a:prstGeom>
                                <a:solidFill>
                                  <a:srgbClr val="FFFF00"/>
                                </a:solidFill>
                                <a:ln w="13546">
                                  <a:solidFill>
                                    <a:srgbClr val="FFFF00"/>
                                  </a:solidFill>
                                  <a:miter lim="0"/>
                                </a:ln>
                                <a:effectLst/>
                              </wps:spPr>
                              <wps:bodyPr lIns="72248" tIns="72248" rIns="72248" bIns="72248" anchor="ctr"/>
                            </wps:wsp>
                            <wps:wsp>
                              <wps:cNvPr id="7186" name="Rectangle 154"/>
                              <wps:cNvSpPr/>
                              <wps:spPr bwMode="auto">
                                <a:xfrm>
                                  <a:off x="53" y="0"/>
                                  <a:ext cx="37" cy="33"/>
                                </a:xfrm>
                                <a:prstGeom prst="rect">
                                  <a:avLst/>
                                </a:prstGeom>
                                <a:solidFill>
                                  <a:srgbClr val="FFFF00"/>
                                </a:solidFill>
                                <a:ln w="13546">
                                  <a:solidFill>
                                    <a:srgbClr val="FFFF00"/>
                                  </a:solidFill>
                                  <a:miter lim="0"/>
                                </a:ln>
                                <a:effectLst/>
                              </wps:spPr>
                              <wps:bodyPr lIns="0" tIns="0" rIns="0" bIns="0" anchor="ctr"/>
                            </wps:wsp>
                            <wps:wsp>
                              <wps:cNvPr id="7187" name="Rectangle 155"/>
                              <wps:cNvSpPr/>
                              <wps:spPr bwMode="auto">
                                <a:xfrm>
                                  <a:off x="107" y="0"/>
                                  <a:ext cx="37" cy="33"/>
                                </a:xfrm>
                                <a:prstGeom prst="rect">
                                  <a:avLst/>
                                </a:prstGeom>
                                <a:solidFill>
                                  <a:srgbClr val="FFFF00"/>
                                </a:solidFill>
                                <a:ln w="13546">
                                  <a:solidFill>
                                    <a:srgbClr val="FFFF00"/>
                                  </a:solidFill>
                                  <a:miter lim="0"/>
                                </a:ln>
                                <a:effectLst/>
                              </wps:spPr>
                              <wps:bodyPr lIns="0" tIns="0" rIns="0" bIns="0" anchor="ctr"/>
                            </wps:wsp>
                          </wpg:wgp>
                        </a:graphicData>
                      </a:graphic>
                    </wp:anchor>
                  </w:drawing>
                </mc:Choice>
                <mc:Fallback>
                  <w:pict>
                    <v:group id="Group 152" o:spid="_x0000_s1026" o:spt="203" style="position:absolute;left:0pt;margin-left:0.15pt;margin-top:3.55pt;height:19.75pt;width:68.75pt;z-index:251661312;mso-width-relative:page;mso-height-relative:page;" coordsize="144,33" o:gfxdata="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gP3KP1gAAAAUBAAAPAAAAAAAAAAEAIAAAACIAAABk&#10;cnMvZG93bnJldi54bWxQSwECFAAUAAAACACHTuJAL8vj3XoCAAAtCQAADgAAAAAAAAABACAAAAAl&#10;AQAAZHJzL2Uyb0RvYy54bWxQSwUGAAAAAAYABgBZAQAAEQYAAAAA&#10;">
                      <o:lock v:ext="edit" aspectratio="f"/>
                      <v:rect id="Rectangle 153" o:spid="_x0000_s1026" o:spt="1" style="position:absolute;left:0;top:0;height:33;width:36;v-text-anchor:middle;" fillcolor="#FFFF00" filled="t" stroked="t" coordsize="21600,21600" o:gfxdata="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960&#10;IMEAAADdAAAADwAAAAAAAAABACAAAAAiAAAAZHJzL2Rvd25yZXYueG1sUEsBAhQAFAAAAAgAh07i&#10;QDMvBZ47AAAAOQAAABAAAAAAAAAAAQAgAAAAEAEAAGRycy9zaGFwZXhtbC54bWxQSwUGAAAAAAYA&#10;BgBbAQAAugMAAAAA&#10;">
                        <v:fill on="t" focussize="0,0"/>
                        <v:stroke weight="1.06661417322835pt" color="#FFFF00" miterlimit="0" joinstyle="miter"/>
                        <v:imagedata o:title=""/>
                        <o:lock v:ext="edit" aspectratio="f"/>
                        <v:textbox inset="5.6888188976378pt,5.6888188976378pt,5.6888188976378pt,5.6888188976378pt"/>
                      </v:rect>
                      <v:rect id="Rectangle 154" o:spid="_x0000_s1026" o:spt="1" style="position:absolute;left:53;top:0;height:33;width:37;v-text-anchor:middle;" fillcolor="#FFFF00" filled="t" stroked="t" coordsize="21600,21600" o:gfxdata="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rX9L4A&#10;AADdAAAADwAAAAAAAAABACAAAAAiAAAAZHJzL2Rvd25yZXYueG1sUEsBAhQAFAAAAAgAh07iQDMv&#10;BZ47AAAAOQAAABAAAAAAAAAAAQAgAAAADQEAAGRycy9zaGFwZXhtbC54bWxQSwUGAAAAAAYABgBb&#10;AQAAtwMAAAAA&#10;">
                        <v:fill on="t" focussize="0,0"/>
                        <v:stroke weight="1.06661417322835pt" color="#FFFF00" miterlimit="0" joinstyle="miter"/>
                        <v:imagedata o:title=""/>
                        <o:lock v:ext="edit" aspectratio="f"/>
                        <v:textbox inset="0mm,0mm,0mm,0mm"/>
                      </v:rect>
                      <v:rect id="Rectangle 155" o:spid="_x0000_s1026" o:spt="1" style="position:absolute;left:107;top:0;height:33;width:37;v-text-anchor:middle;" fillcolor="#FFFF00" filled="t" stroked="t" coordsize="21600,21600" o:gfxdata="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Zyb74A&#10;AADdAAAADwAAAAAAAAABACAAAAAiAAAAZHJzL2Rvd25yZXYueG1sUEsBAhQAFAAAAAgAh07iQDMv&#10;BZ47AAAAOQAAABAAAAAAAAAAAQAgAAAADQEAAGRycy9zaGFwZXhtbC54bWxQSwUGAAAAAAYABgBb&#10;AQAAtwMAAAAA&#10;">
                        <v:fill on="t" focussize="0,0"/>
                        <v:stroke weight="1.06661417322835pt" color="#FFFF00" miterlimit="0" joinstyle="miter"/>
                        <v:imagedata o:title=""/>
                        <o:lock v:ext="edit" aspectratio="f"/>
                        <v:textbox inset="0mm,0mm,0mm,0mm"/>
                      </v:rect>
                    </v:group>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安全警示区</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50mm（45°）</w:t>
            </w:r>
          </w:p>
        </w:tc>
        <w:tc>
          <w:tcPr>
            <w:tcW w:w="2082" w:type="dxa"/>
            <w:vMerge w:val="restart"/>
            <w:vAlign w:val="center"/>
          </w:tcPr>
          <w:p>
            <w:pPr>
              <w:jc w:val="center"/>
              <w:rPr>
                <w:rFonts w:ascii="Calibri" w:hAnsi="Calibri" w:eastAsia="宋体" w:cs="Times New Roman"/>
                <w:sz w:val="21"/>
                <w:szCs w:val="21"/>
              </w:rPr>
            </w:pPr>
            <w:r>
              <w:rPr>
                <w:rFonts w:ascii="Calibri" w:hAnsi="Calibri" w:eastAsia="宋体" w:cs="Times New Roman"/>
                <w:sz w:val="21"/>
                <w:szCs w:val="21"/>
              </w:rPr>
              <w:t>黄黑线</w:t>
            </w:r>
          </w:p>
        </w:tc>
        <w:tc>
          <w:tcPr>
            <w:tcW w:w="1644" w:type="dxa"/>
            <w:vMerge w:val="restart"/>
            <w:vAlign w:val="center"/>
          </w:tcPr>
          <w:p>
            <w:pPr>
              <w:jc w:val="center"/>
              <w:rPr>
                <w:rFonts w:ascii="Calibri" w:hAnsi="Calibri" w:eastAsia="宋体" w:cs="Times New Roman"/>
                <w:sz w:val="21"/>
                <w:szCs w:val="21"/>
              </w:rPr>
            </w:pPr>
            <w:r>
              <w:rPr>
                <w:rFonts w:ascii="Calibri" w:hAnsi="Calibri" w:eastAsia="宋体" w:cs="Times New Roman"/>
                <w:sz w:val="21"/>
                <w:szCs w:val="21"/>
              </w:rPr>
              <mc:AlternateContent>
                <mc:Choice Requires="wpg">
                  <w:drawing>
                    <wp:anchor distT="0" distB="0" distL="114300" distR="114300" simplePos="0" relativeHeight="251663360" behindDoc="0" locked="0" layoutInCell="1" allowOverlap="1">
                      <wp:simplePos x="0" y="0"/>
                      <wp:positionH relativeFrom="column">
                        <wp:posOffset>-13335</wp:posOffset>
                      </wp:positionH>
                      <wp:positionV relativeFrom="paragraph">
                        <wp:posOffset>24765</wp:posOffset>
                      </wp:positionV>
                      <wp:extent cx="909320" cy="212090"/>
                      <wp:effectExtent l="0" t="0" r="5080" b="0"/>
                      <wp:wrapNone/>
                      <wp:docPr id="7188" name="Group 163"/>
                      <wp:cNvGraphicFramePr/>
                      <a:graphic xmlns:a="http://schemas.openxmlformats.org/drawingml/2006/main">
                        <a:graphicData uri="http://schemas.microsoft.com/office/word/2010/wordprocessingGroup">
                          <wpg:wgp>
                            <wpg:cNvGrpSpPr/>
                            <wpg:grpSpPr>
                              <a:xfrm>
                                <a:off x="0" y="0"/>
                                <a:ext cx="909320" cy="212090"/>
                                <a:chOff x="0" y="0"/>
                                <a:chExt cx="147" cy="36"/>
                              </a:xfrm>
                            </wpg:grpSpPr>
                            <wps:wsp>
                              <wps:cNvPr id="7189" name="AutoShape 164"/>
                              <wps:cNvSpPr/>
                              <wps:spPr bwMode="auto">
                                <a:xfrm rot="10800000" flipH="1">
                                  <a:off x="0" y="0"/>
                                  <a:ext cx="29" cy="3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600" h="21600">
                                      <a:moveTo>
                                        <a:pt x="0" y="21600"/>
                                      </a:moveTo>
                                      <a:lnTo>
                                        <a:pt x="0" y="0"/>
                                      </a:lnTo>
                                      <a:lnTo>
                                        <a:pt x="21600" y="21600"/>
                                      </a:lnTo>
                                      <a:lnTo>
                                        <a:pt x="0" y="21600"/>
                                      </a:lnTo>
                                      <a:close/>
                                    </a:path>
                                  </a:pathLst>
                                </a:custGeom>
                                <a:solidFill>
                                  <a:srgbClr val="000000"/>
                                </a:solidFill>
                                <a:ln>
                                  <a:noFill/>
                                </a:ln>
                                <a:effectLst/>
                              </wps:spPr>
                              <wps:bodyPr lIns="72248" tIns="72248" rIns="72248" bIns="72248" anchor="ctr"/>
                            </wps:wsp>
                            <wps:wsp>
                              <wps:cNvPr id="7191" name="AutoShape 165"/>
                              <wps:cNvSpPr/>
                              <wps:spPr bwMode="auto">
                                <a:xfrm flipH="1">
                                  <a:off x="117" y="0"/>
                                  <a:ext cx="30" cy="3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600" h="21600">
                                      <a:moveTo>
                                        <a:pt x="0" y="21600"/>
                                      </a:moveTo>
                                      <a:lnTo>
                                        <a:pt x="0" y="0"/>
                                      </a:lnTo>
                                      <a:lnTo>
                                        <a:pt x="21600" y="21600"/>
                                      </a:lnTo>
                                      <a:lnTo>
                                        <a:pt x="0" y="21600"/>
                                      </a:lnTo>
                                      <a:close/>
                                    </a:path>
                                  </a:pathLst>
                                </a:custGeom>
                                <a:solidFill>
                                  <a:srgbClr val="FFFF00"/>
                                </a:solidFill>
                                <a:ln>
                                  <a:noFill/>
                                </a:ln>
                                <a:effectLst/>
                              </wps:spPr>
                              <wps:bodyPr lIns="72248" tIns="72248" rIns="72248" bIns="72248" anchor="ctr"/>
                            </wps:wsp>
                            <wps:wsp>
                              <wps:cNvPr id="7192" name="AutoShape 166"/>
                              <wps:cNvSpPr/>
                              <wps:spPr bwMode="auto">
                                <a:xfrm>
                                  <a:off x="0" y="0"/>
                                  <a:ext cx="57" cy="3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600" h="21600">
                                      <a:moveTo>
                                        <a:pt x="0" y="21600"/>
                                      </a:moveTo>
                                      <a:lnTo>
                                        <a:pt x="14181" y="0"/>
                                      </a:lnTo>
                                      <a:lnTo>
                                        <a:pt x="21600" y="0"/>
                                      </a:lnTo>
                                      <a:lnTo>
                                        <a:pt x="7418" y="21600"/>
                                      </a:lnTo>
                                      <a:lnTo>
                                        <a:pt x="0" y="21600"/>
                                      </a:lnTo>
                                      <a:close/>
                                    </a:path>
                                  </a:pathLst>
                                </a:custGeom>
                                <a:solidFill>
                                  <a:srgbClr val="FFFF00"/>
                                </a:solidFill>
                                <a:ln>
                                  <a:noFill/>
                                </a:ln>
                                <a:effectLst/>
                              </wps:spPr>
                              <wps:bodyPr lIns="72248" tIns="72248" rIns="72248" bIns="72248" anchor="ctr"/>
                            </wps:wsp>
                            <wps:wsp>
                              <wps:cNvPr id="7193" name="AutoShape 167"/>
                              <wps:cNvSpPr/>
                              <wps:spPr bwMode="auto">
                                <a:xfrm>
                                  <a:off x="88" y="0"/>
                                  <a:ext cx="58" cy="3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600" h="21600">
                                      <a:moveTo>
                                        <a:pt x="0" y="21600"/>
                                      </a:moveTo>
                                      <a:lnTo>
                                        <a:pt x="14181" y="0"/>
                                      </a:lnTo>
                                      <a:lnTo>
                                        <a:pt x="21600" y="0"/>
                                      </a:lnTo>
                                      <a:lnTo>
                                        <a:pt x="7418" y="21600"/>
                                      </a:lnTo>
                                      <a:lnTo>
                                        <a:pt x="0" y="21600"/>
                                      </a:lnTo>
                                      <a:close/>
                                    </a:path>
                                  </a:pathLst>
                                </a:custGeom>
                                <a:solidFill>
                                  <a:srgbClr val="000000"/>
                                </a:solidFill>
                                <a:ln>
                                  <a:noFill/>
                                </a:ln>
                                <a:effectLst/>
                              </wps:spPr>
                              <wps:bodyPr lIns="72248" tIns="72248" rIns="72248" bIns="72248" anchor="ctr"/>
                            </wps:wsp>
                            <wps:wsp>
                              <wps:cNvPr id="7194" name="AutoShape 168"/>
                              <wps:cNvSpPr/>
                              <wps:spPr bwMode="auto">
                                <a:xfrm>
                                  <a:off x="58" y="0"/>
                                  <a:ext cx="58" cy="3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600" h="21600">
                                      <a:moveTo>
                                        <a:pt x="0" y="21600"/>
                                      </a:moveTo>
                                      <a:lnTo>
                                        <a:pt x="14181" y="0"/>
                                      </a:lnTo>
                                      <a:lnTo>
                                        <a:pt x="21600" y="0"/>
                                      </a:lnTo>
                                      <a:lnTo>
                                        <a:pt x="7418" y="21600"/>
                                      </a:lnTo>
                                      <a:lnTo>
                                        <a:pt x="0" y="21600"/>
                                      </a:lnTo>
                                      <a:close/>
                                    </a:path>
                                  </a:pathLst>
                                </a:custGeom>
                                <a:solidFill>
                                  <a:srgbClr val="FFFF00"/>
                                </a:solidFill>
                                <a:ln>
                                  <a:noFill/>
                                </a:ln>
                                <a:effectLst/>
                              </wps:spPr>
                              <wps:bodyPr lIns="72248" tIns="72248" rIns="72248" bIns="72248" anchor="ctr"/>
                            </wps:wsp>
                            <wps:wsp>
                              <wps:cNvPr id="7204" name="AutoShape 169"/>
                              <wps:cNvSpPr/>
                              <wps:spPr bwMode="auto">
                                <a:xfrm>
                                  <a:off x="29" y="0"/>
                                  <a:ext cx="57" cy="3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600" h="21600">
                                      <a:moveTo>
                                        <a:pt x="0" y="21600"/>
                                      </a:moveTo>
                                      <a:lnTo>
                                        <a:pt x="14181" y="0"/>
                                      </a:lnTo>
                                      <a:lnTo>
                                        <a:pt x="21600" y="0"/>
                                      </a:lnTo>
                                      <a:lnTo>
                                        <a:pt x="7418" y="21600"/>
                                      </a:lnTo>
                                      <a:lnTo>
                                        <a:pt x="0" y="21600"/>
                                      </a:lnTo>
                                      <a:close/>
                                    </a:path>
                                  </a:pathLst>
                                </a:custGeom>
                                <a:solidFill>
                                  <a:srgbClr val="000000"/>
                                </a:solidFill>
                                <a:ln>
                                  <a:noFill/>
                                </a:ln>
                                <a:effectLst/>
                              </wps:spPr>
                              <wps:bodyPr lIns="72248" tIns="72248" rIns="72248" bIns="72248" anchor="ctr"/>
                            </wps:wsp>
                          </wpg:wgp>
                        </a:graphicData>
                      </a:graphic>
                    </wp:anchor>
                  </w:drawing>
                </mc:Choice>
                <mc:Fallback>
                  <w:pict>
                    <v:group id="Group 163" o:spid="_x0000_s1026" o:spt="203" style="position:absolute;left:0pt;margin-left:-1.05pt;margin-top:1.95pt;height:16.7pt;width:71.6pt;z-index:251663360;mso-width-relative:page;mso-height-relative:page;" coordsize="147,36" o:gfxdata="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">
                      <o:lock v:ext="edit" aspectratio="f"/>
                      <v:shape id="AutoShape 164" o:spid="_x0000_s1026" o:spt="100" style="position:absolute;left:0;top:0;flip:x;height:36;width:29;rotation:11796480f;v-text-anchor:middle;" fillcolor="#000000" filled="t" stroked="f" coordsize="21600,21600" o:gfxdata="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94Z+vQAA&#10;AN0AAAAPAAAAAAAAAAEAIAAAACIAAABkcnMvZG93bnJldi54bWxQSwECFAAUAAAACACHTuJAMy8F&#10;njsAAAA5AAAAEAAAAAAAAAABACAAAAAMAQAAZHJzL3NoYXBleG1sLnhtbFBLBQYAAAAABgAGAFsB&#10;AAC2AwAAAAA=&#10;" path="m0,21600l0,0,21600,21600,0,21600xe">
                        <v:path o:connectlocs="0,0;0,0;0,0;0,0" o:connectangles="0,0,0,0"/>
                        <v:fill on="t" focussize="0,0"/>
                        <v:stroke on="f"/>
                        <v:imagedata o:title=""/>
                        <o:lock v:ext="edit" aspectratio="f"/>
                        <v:textbox inset="5.6888188976378pt,5.6888188976378pt,5.6888188976378pt,5.6888188976378pt"/>
                      </v:shape>
                      <v:shape id="AutoShape 165" o:spid="_x0000_s1026" o:spt="100" style="position:absolute;left:117;top:0;flip:x;height:36;width:30;v-text-anchor:middle;" fillcolor="#FFFF00" filled="t" stroked="f" coordsize="21600,21600" o:gfxdata="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buiKa/&#10;AAAA3QAAAA8AAAAAAAAAAQAgAAAAIgAAAGRycy9kb3ducmV2LnhtbFBLAQIUABQAAAAIAIdO4kAz&#10;LwWeOwAAADkAAAAQAAAAAAAAAAEAIAAAAA4BAABkcnMvc2hhcGV4bWwueG1sUEsFBgAAAAAGAAYA&#10;WwEAALgDAAAAAA==&#10;" path="m0,21600l0,0,21600,21600,0,21600xe">
                        <v:path o:connectlocs="0,0;0,0;0,0;0,0" o:connectangles="0,0,0,0"/>
                        <v:fill on="t" focussize="0,0"/>
                        <v:stroke on="f"/>
                        <v:imagedata o:title=""/>
                        <o:lock v:ext="edit" aspectratio="f"/>
                        <v:textbox inset="5.6888188976378pt,5.6888188976378pt,5.6888188976378pt,5.6888188976378pt"/>
                      </v:shape>
                      <v:shape id="AutoShape 166" o:spid="_x0000_s1026" o:spt="100" style="position:absolute;left:0;top:0;height:36;width:57;v-text-anchor:middle;" fillcolor="#FFFF00" filled="t" stroked="f" coordsize="21600,21600" o:gfxdata="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uiiu/&#10;AAAA3QAAAA8AAAAAAAAAAQAgAAAAIgAAAGRycy9kb3ducmV2LnhtbFBLAQIUABQAAAAIAIdO4kAz&#10;LwWeOwAAADkAAAAQAAAAAAAAAAEAIAAAAA4BAABkcnMvc2hhcGV4bWwueG1sUEsFBgAAAAAGAAYA&#10;WwEAALgDAAAAAA==&#10;" path="m0,21600l14181,0,21600,0,7418,21600,0,21600xe">
                        <v:path o:connectlocs="0,0;0,0;0,0;0,0" o:connectangles="0,0,0,0"/>
                        <v:fill on="t" focussize="0,0"/>
                        <v:stroke on="f"/>
                        <v:imagedata o:title=""/>
                        <o:lock v:ext="edit" aspectratio="f"/>
                        <v:textbox inset="5.6888188976378pt,5.6888188976378pt,5.6888188976378pt,5.6888188976378pt"/>
                      </v:shape>
                      <v:shape id="AutoShape 167" o:spid="_x0000_s1026" o:spt="100" style="position:absolute;left:88;top:0;height:36;width:58;v-text-anchor:middle;" fillcolor="#000000" filled="t" stroked="f" coordsize="21600,21600" o:gfxdata="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nIim&#10;wAAAAN0AAAAPAAAAAAAAAAEAIAAAACIAAABkcnMvZG93bnJldi54bWxQSwECFAAUAAAACACHTuJA&#10;My8FnjsAAAA5AAAAEAAAAAAAAAABACAAAAAPAQAAZHJzL3NoYXBleG1sLnhtbFBLBQYAAAAABgAG&#10;AFsBAAC5AwAAAAA=&#10;" path="m0,21600l14181,0,21600,0,7418,21600,0,21600xe">
                        <v:path o:connectlocs="0,0;0,0;0,0;0,0" o:connectangles="0,0,0,0"/>
                        <v:fill on="t" focussize="0,0"/>
                        <v:stroke on="f"/>
                        <v:imagedata o:title=""/>
                        <o:lock v:ext="edit" aspectratio="f"/>
                        <v:textbox inset="5.6888188976378pt,5.6888188976378pt,5.6888188976378pt,5.6888188976378pt"/>
                      </v:shape>
                      <v:shape id="AutoShape 168" o:spid="_x0000_s1026" o:spt="100" style="position:absolute;left:58;top:0;height:36;width:58;v-text-anchor:middle;" fillcolor="#FFFF00" filled="t" stroked="f" coordsize="21600,21600" o:gfxdata="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Lt8S/&#10;AAAA3QAAAA8AAAAAAAAAAQAgAAAAIgAAAGRycy9kb3ducmV2LnhtbFBLAQIUABQAAAAIAIdO4kAz&#10;LwWeOwAAADkAAAAQAAAAAAAAAAEAIAAAAA4BAABkcnMvc2hhcGV4bWwueG1sUEsFBgAAAAAGAAYA&#10;WwEAALgDAAAAAA==&#10;" path="m0,21600l14181,0,21600,0,7418,21600,0,21600xe">
                        <v:path o:connectlocs="0,0;0,0;0,0;0,0" o:connectangles="0,0,0,0"/>
                        <v:fill on="t" focussize="0,0"/>
                        <v:stroke on="f"/>
                        <v:imagedata o:title=""/>
                        <o:lock v:ext="edit" aspectratio="f"/>
                        <v:textbox inset="5.6888188976378pt,5.6888188976378pt,5.6888188976378pt,5.6888188976378pt"/>
                      </v:shape>
                      <v:shape id="AutoShape 169" o:spid="_x0000_s1026" o:spt="100" style="position:absolute;left:29;top:0;height:36;width:57;v-text-anchor:middle;" fillcolor="#000000" filled="t" stroked="f" coordsize="21600,21600" o:gfxdata="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WuQp&#10;wAAAAN0AAAAPAAAAAAAAAAEAIAAAACIAAABkcnMvZG93bnJldi54bWxQSwECFAAUAAAACACHTuJA&#10;My8FnjsAAAA5AAAAEAAAAAAAAAABACAAAAAPAQAAZHJzL3NoYXBleG1sLnhtbFBLBQYAAAAABgAG&#10;AFsBAAC5AwAAAAA=&#10;" path="m0,21600l14181,0,21600,0,7418,21600,0,21600xe">
                        <v:path o:connectlocs="0,0;0,0;0,0;0,0" o:connectangles="0,0,0,0"/>
                        <v:fill on="t" focussize="0,0"/>
                        <v:stroke on="f"/>
                        <v:imagedata o:title=""/>
                        <o:lock v:ext="edit" aspectratio="f"/>
                        <v:textbox inset="5.6888188976378pt,5.6888188976378pt,5.6888188976378pt,5.6888188976378pt"/>
                      </v:shape>
                    </v:group>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楼梯口</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50mm（45°）</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沟盖板</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50mm（45°）</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防磕头、绊跤</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50mm（45°）</w:t>
            </w:r>
          </w:p>
        </w:tc>
        <w:tc>
          <w:tcPr>
            <w:tcW w:w="2082" w:type="dxa"/>
            <w:vMerge w:val="continue"/>
            <w:vAlign w:val="center"/>
          </w:tcPr>
          <w:p>
            <w:pPr>
              <w:jc w:val="center"/>
              <w:rPr>
                <w:rFonts w:ascii="Calibri" w:hAnsi="Calibri" w:eastAsia="宋体" w:cs="Times New Roman"/>
                <w:sz w:val="21"/>
                <w:szCs w:val="21"/>
              </w:rPr>
            </w:pPr>
          </w:p>
        </w:tc>
        <w:tc>
          <w:tcPr>
            <w:tcW w:w="1644" w:type="dxa"/>
            <w:vMerge w:val="continue"/>
            <w:vAlign w:val="center"/>
          </w:tcPr>
          <w:p>
            <w:pPr>
              <w:jc w:val="center"/>
              <w:rPr>
                <w:rFonts w:ascii="Calibri" w:hAnsi="Calibri"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jc w:val="center"/>
        </w:trPr>
        <w:tc>
          <w:tcPr>
            <w:tcW w:w="1603" w:type="dxa"/>
            <w:vMerge w:val="continue"/>
            <w:vAlign w:val="center"/>
          </w:tcPr>
          <w:p>
            <w:pPr>
              <w:jc w:val="center"/>
              <w:rPr>
                <w:rFonts w:ascii="Calibri" w:hAnsi="Calibri" w:eastAsia="宋体" w:cs="Times New Roman"/>
                <w:sz w:val="21"/>
                <w:szCs w:val="21"/>
              </w:rPr>
            </w:pPr>
          </w:p>
        </w:tc>
        <w:tc>
          <w:tcPr>
            <w:tcW w:w="1694" w:type="dxa"/>
            <w:vAlign w:val="center"/>
          </w:tcPr>
          <w:p>
            <w:pPr>
              <w:jc w:val="center"/>
              <w:rPr>
                <w:rFonts w:ascii="Calibri" w:hAnsi="Calibri" w:eastAsia="宋体" w:cs="Times New Roman"/>
                <w:sz w:val="21"/>
                <w:szCs w:val="21"/>
              </w:rPr>
            </w:pPr>
            <w:r>
              <w:rPr>
                <w:rFonts w:ascii="Calibri" w:hAnsi="Calibri" w:eastAsia="宋体" w:cs="Times New Roman"/>
                <w:sz w:val="21"/>
                <w:szCs w:val="21"/>
              </w:rPr>
              <w:t>生产区域安全通道、专用通道</w:t>
            </w:r>
          </w:p>
        </w:tc>
        <w:tc>
          <w:tcPr>
            <w:tcW w:w="1704" w:type="dxa"/>
            <w:vAlign w:val="center"/>
          </w:tcPr>
          <w:p>
            <w:pPr>
              <w:jc w:val="center"/>
              <w:rPr>
                <w:rFonts w:ascii="Calibri" w:hAnsi="Calibri" w:eastAsia="宋体" w:cs="Times New Roman"/>
                <w:sz w:val="21"/>
                <w:szCs w:val="21"/>
              </w:rPr>
            </w:pPr>
            <w:r>
              <w:rPr>
                <w:rFonts w:ascii="Calibri" w:hAnsi="Calibri" w:eastAsia="宋体" w:cs="Times New Roman"/>
                <w:sz w:val="21"/>
                <w:szCs w:val="21"/>
              </w:rPr>
              <w:t>\</w:t>
            </w:r>
          </w:p>
        </w:tc>
        <w:tc>
          <w:tcPr>
            <w:tcW w:w="2082" w:type="dxa"/>
            <w:vAlign w:val="center"/>
          </w:tcPr>
          <w:p>
            <w:pPr>
              <w:jc w:val="center"/>
              <w:rPr>
                <w:rFonts w:ascii="Calibri" w:hAnsi="Calibri" w:eastAsia="宋体" w:cs="Times New Roman"/>
                <w:sz w:val="21"/>
                <w:szCs w:val="21"/>
              </w:rPr>
            </w:pPr>
            <w:r>
              <w:rPr>
                <w:rFonts w:ascii="Calibri" w:hAnsi="Calibri" w:eastAsia="宋体" w:cs="Times New Roman"/>
                <w:sz w:val="21"/>
                <w:szCs w:val="21"/>
              </w:rPr>
              <w:t>绿色</w:t>
            </w:r>
          </w:p>
        </w:tc>
        <w:tc>
          <w:tcPr>
            <w:tcW w:w="1644" w:type="dxa"/>
            <w:vAlign w:val="center"/>
          </w:tcPr>
          <w:p>
            <w:pPr>
              <w:jc w:val="center"/>
              <w:rPr>
                <w:rFonts w:ascii="Calibri" w:hAnsi="Calibri" w:eastAsia="宋体" w:cs="Times New Roman"/>
                <w:sz w:val="21"/>
                <w:szCs w:val="21"/>
              </w:rPr>
            </w:pPr>
            <w:r>
              <w:rPr>
                <w:rFonts w:ascii="Calibri" w:hAnsi="Calibri" w:eastAsia="宋体" w:cs="Times New Roman"/>
                <w:sz w:val="21"/>
                <w:szCs w:val="21"/>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89535</wp:posOffset>
                      </wp:positionV>
                      <wp:extent cx="924560" cy="220345"/>
                      <wp:effectExtent l="0" t="0" r="8890" b="8255"/>
                      <wp:wrapNone/>
                      <wp:docPr id="15430" name="Rectangle 170"/>
                      <wp:cNvGraphicFramePr/>
                      <a:graphic xmlns:a="http://schemas.openxmlformats.org/drawingml/2006/main">
                        <a:graphicData uri="http://schemas.microsoft.com/office/word/2010/wordprocessingShape">
                          <wps:wsp>
                            <wps:cNvSpPr/>
                            <wps:spPr bwMode="auto">
                              <a:xfrm>
                                <a:off x="0" y="0"/>
                                <a:ext cx="924560" cy="220345"/>
                              </a:xfrm>
                              <a:prstGeom prst="rect">
                                <a:avLst/>
                              </a:prstGeom>
                              <a:solidFill>
                                <a:srgbClr val="339933"/>
                              </a:solidFill>
                              <a:ln>
                                <a:noFill/>
                              </a:ln>
                              <a:effectLst/>
                            </wps:spPr>
                            <wps:bodyPr lIns="72248" tIns="72248" rIns="72248" bIns="72248" anchor="ctr"/>
                          </wps:wsp>
                        </a:graphicData>
                      </a:graphic>
                    </wp:anchor>
                  </w:drawing>
                </mc:Choice>
                <mc:Fallback>
                  <w:pict>
                    <v:rect id="Rectangle 170" o:spid="_x0000_s1026" o:spt="1" style="position:absolute;left:0pt;margin-left:0pt;margin-top:7.05pt;height:17.35pt;width:72.8pt;z-index:251662336;v-text-anchor:middle;mso-width-relative:page;mso-height-relative:page;" fillcolor="#339933" filled="t" stroked="f" coordsize="21600,21600" o:gfxdata="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ZPolfSAAAABgEAAA8AAAAAAAAAAQAgAAAAIgAAAGRycy9k&#10;b3ducmV2LnhtbFBLAQIUABQAAAAIAIdO4kAag7JlzwEAALgDAAAOAAAAAAAAAAEAIAAAACEBAABk&#10;cnMvZTJvRG9jLnhtbFBLBQYAAAAABgAGAFkBAABiBQAAAAA=&#10;">
                      <v:fill on="t" focussize="0,0"/>
                      <v:stroke on="f"/>
                      <v:imagedata o:title=""/>
                      <o:lock v:ext="edit" aspectratio="f"/>
                      <v:textbox inset="5.6888188976378pt,5.6888188976378pt,5.6888188976378pt,5.6888188976378pt"/>
                    </v:rect>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jc w:val="center"/>
              <w:rPr>
                <w:rFonts w:ascii="Calibri" w:hAnsi="Calibri" w:eastAsia="宋体" w:cs="Times New Roman"/>
                <w:sz w:val="21"/>
                <w:szCs w:val="21"/>
              </w:rPr>
            </w:pPr>
            <w:r>
              <w:rPr>
                <w:rFonts w:ascii="Calibri" w:hAnsi="Calibri" w:eastAsia="宋体" w:cs="Times New Roman"/>
                <w:sz w:val="21"/>
                <w:szCs w:val="21"/>
              </w:rPr>
              <w:t>说明</w:t>
            </w:r>
          </w:p>
        </w:tc>
        <w:tc>
          <w:tcPr>
            <w:tcW w:w="7133" w:type="dxa"/>
            <w:gridSpan w:val="5"/>
            <w:vAlign w:val="center"/>
          </w:tcPr>
          <w:p>
            <w:pPr>
              <w:jc w:val="left"/>
              <w:rPr>
                <w:rFonts w:ascii="Calibri" w:hAnsi="Calibri" w:eastAsia="宋体" w:cs="Times New Roman"/>
                <w:sz w:val="21"/>
                <w:szCs w:val="21"/>
              </w:rPr>
            </w:pPr>
            <w:r>
              <w:rPr>
                <w:rFonts w:ascii="Calibri" w:hAnsi="Calibri" w:eastAsia="宋体" w:cs="Times New Roman"/>
                <w:sz w:val="21"/>
                <w:szCs w:val="21"/>
              </w:rPr>
              <w:t>1、按管理要求在相应的地方刷不同颜色的油漆或地胶线；</w:t>
            </w:r>
          </w:p>
          <w:p>
            <w:pPr>
              <w:jc w:val="left"/>
              <w:rPr>
                <w:rFonts w:ascii="Calibri" w:hAnsi="Calibri" w:eastAsia="宋体" w:cs="Times New Roman"/>
                <w:sz w:val="21"/>
                <w:szCs w:val="21"/>
              </w:rPr>
            </w:pPr>
            <w:r>
              <w:rPr>
                <w:rFonts w:ascii="Calibri" w:hAnsi="Calibri" w:eastAsia="宋体" w:cs="Times New Roman"/>
                <w:sz w:val="21"/>
                <w:szCs w:val="21"/>
              </w:rPr>
              <w:t>2、划线的具体形状参照后面章节的相关规定。</w:t>
            </w:r>
          </w:p>
        </w:tc>
      </w:tr>
    </w:tbl>
    <w:p>
      <w:pPr>
        <w:spacing w:line="360" w:lineRule="auto"/>
        <w:ind w:firstLine="482" w:firstLineChars="200"/>
        <w:outlineLvl w:val="1"/>
        <w:rPr>
          <w:rFonts w:eastAsia="宋体" w:cs="Times New Roman"/>
          <w:b/>
          <w:sz w:val="24"/>
          <w:szCs w:val="21"/>
        </w:rPr>
      </w:pPr>
      <w:r>
        <w:rPr>
          <w:rFonts w:eastAsia="宋体" w:cs="Times New Roman"/>
          <w:b/>
          <w:sz w:val="24"/>
          <w:szCs w:val="21"/>
        </w:rPr>
        <w:t>四、厂区环境可视化设置</w:t>
      </w:r>
    </w:p>
    <w:p>
      <w:pPr>
        <w:spacing w:line="360" w:lineRule="auto"/>
        <w:ind w:firstLine="480" w:firstLineChars="200"/>
        <w:rPr>
          <w:rFonts w:eastAsia="宋体" w:cs="Times New Roman"/>
          <w:sz w:val="24"/>
          <w:szCs w:val="21"/>
        </w:rPr>
      </w:pPr>
      <w:r>
        <w:rPr>
          <w:rFonts w:eastAsia="宋体" w:cs="Times New Roman"/>
          <w:sz w:val="24"/>
          <w:szCs w:val="21"/>
        </w:rPr>
        <w:t>（一）厂（工业园）区入口安全宣传栏设置</w:t>
      </w:r>
    </w:p>
    <w:p>
      <w:pPr>
        <w:pStyle w:val="2"/>
        <w:jc w:val="center"/>
        <w:rPr>
          <w:sz w:val="21"/>
          <w:szCs w:val="21"/>
        </w:rPr>
      </w:pPr>
      <w:r>
        <w:rPr>
          <w:rFonts w:hint="eastAsia"/>
          <w:sz w:val="21"/>
          <w:szCs w:val="21"/>
        </w:rPr>
        <w:t>表1</w:t>
      </w:r>
      <w:r>
        <w:rPr>
          <w:sz w:val="21"/>
          <w:szCs w:val="21"/>
        </w:rPr>
        <w:t>4.4</w:t>
      </w:r>
      <w:r>
        <w:rPr>
          <w:rFonts w:hint="eastAsia"/>
          <w:sz w:val="21"/>
          <w:szCs w:val="21"/>
        </w:rPr>
        <w:t>-</w:t>
      </w:r>
      <w:r>
        <w:rPr>
          <w:sz w:val="21"/>
          <w:szCs w:val="21"/>
        </w:rPr>
        <w:t>1</w:t>
      </w:r>
      <w:r>
        <w:rPr>
          <w:rFonts w:hint="eastAsia"/>
          <w:sz w:val="21"/>
          <w:szCs w:val="21"/>
        </w:rPr>
        <w:t>厂（工业园）区入口安全宣传栏示例</w:t>
      </w:r>
    </w:p>
    <w:tbl>
      <w:tblPr>
        <w:tblStyle w:val="35"/>
        <w:tblW w:w="86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3117"/>
        <w:gridCol w:w="47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jc w:val="center"/>
              <w:rPr>
                <w:rFonts w:ascii="Calibri" w:hAnsi="Calibri" w:eastAsia="宋体" w:cs="Times New Roman"/>
                <w:sz w:val="21"/>
                <w:szCs w:val="21"/>
              </w:rPr>
            </w:pPr>
            <w:r>
              <w:rPr>
                <w:rFonts w:ascii="Calibri" w:hAnsi="Calibri" w:eastAsia="宋体" w:cs="Times New Roman"/>
                <w:sz w:val="21"/>
                <w:szCs w:val="21"/>
              </w:rPr>
              <w:t>目的</w:t>
            </w:r>
          </w:p>
        </w:tc>
        <w:tc>
          <w:tcPr>
            <w:tcW w:w="7847" w:type="dxa"/>
            <w:gridSpan w:val="2"/>
            <w:vAlign w:val="center"/>
          </w:tcPr>
          <w:p>
            <w:pPr>
              <w:jc w:val="center"/>
              <w:rPr>
                <w:rFonts w:ascii="Calibri" w:hAnsi="Calibri" w:eastAsia="宋体" w:cs="Times New Roman"/>
                <w:sz w:val="21"/>
                <w:szCs w:val="21"/>
              </w:rPr>
            </w:pPr>
            <w:r>
              <w:rPr>
                <w:rFonts w:ascii="Calibri" w:hAnsi="Calibri" w:eastAsia="宋体" w:cs="Times New Roman"/>
                <w:sz w:val="21"/>
                <w:szCs w:val="21"/>
              </w:rPr>
              <w:t>进入厂（园）区能迅速了解厂区疏散方向、各区域风险等级、入厂须知等基本信息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jc w:val="center"/>
              <w:rPr>
                <w:rFonts w:ascii="Calibri" w:hAnsi="Calibri" w:eastAsia="宋体" w:cs="Times New Roman"/>
                <w:sz w:val="21"/>
                <w:szCs w:val="21"/>
              </w:rPr>
            </w:pPr>
            <w:r>
              <w:rPr>
                <w:rFonts w:ascii="Calibri" w:hAnsi="Calibri" w:eastAsia="宋体" w:cs="Times New Roman"/>
                <w:sz w:val="21"/>
                <w:szCs w:val="21"/>
              </w:rPr>
              <w:t>对象</w:t>
            </w:r>
          </w:p>
        </w:tc>
        <w:tc>
          <w:tcPr>
            <w:tcW w:w="7847" w:type="dxa"/>
            <w:gridSpan w:val="2"/>
            <w:vAlign w:val="center"/>
          </w:tcPr>
          <w:p>
            <w:pPr>
              <w:jc w:val="center"/>
              <w:rPr>
                <w:rFonts w:ascii="Calibri" w:hAnsi="Calibri" w:eastAsia="宋体" w:cs="Times New Roman"/>
                <w:sz w:val="21"/>
                <w:szCs w:val="21"/>
              </w:rPr>
            </w:pPr>
            <w:r>
              <w:rPr>
                <w:rFonts w:ascii="Calibri" w:hAnsi="Calibri" w:eastAsia="宋体" w:cs="Times New Roman"/>
                <w:sz w:val="21"/>
                <w:szCs w:val="21"/>
              </w:rPr>
              <w:t>设置在厂门进门口显著的位置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jc w:val="center"/>
              <w:rPr>
                <w:rFonts w:ascii="Calibri" w:hAnsi="Calibri" w:eastAsia="宋体" w:cs="Times New Roman"/>
                <w:sz w:val="21"/>
                <w:szCs w:val="21"/>
              </w:rPr>
            </w:pPr>
            <w:r>
              <w:rPr>
                <w:rFonts w:ascii="Calibri" w:hAnsi="Calibri" w:eastAsia="宋体" w:cs="Times New Roman"/>
                <w:sz w:val="21"/>
                <w:szCs w:val="21"/>
              </w:rPr>
              <w:t>序号</w:t>
            </w:r>
          </w:p>
        </w:tc>
        <w:tc>
          <w:tcPr>
            <w:tcW w:w="3117" w:type="dxa"/>
            <w:vAlign w:val="center"/>
          </w:tcPr>
          <w:p>
            <w:pPr>
              <w:jc w:val="center"/>
              <w:rPr>
                <w:rFonts w:ascii="Calibri" w:hAnsi="Calibri" w:eastAsia="宋体" w:cs="Times New Roman"/>
                <w:sz w:val="21"/>
                <w:szCs w:val="21"/>
              </w:rPr>
            </w:pPr>
            <w:r>
              <w:rPr>
                <w:rFonts w:ascii="Calibri" w:hAnsi="Calibri" w:eastAsia="宋体" w:cs="Times New Roman"/>
                <w:sz w:val="21"/>
                <w:szCs w:val="21"/>
              </w:rPr>
              <w:t>宣传栏版块</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说 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numPr>
                <w:ilvl w:val="0"/>
                <w:numId w:val="7"/>
              </w:numPr>
              <w:jc w:val="center"/>
              <w:rPr>
                <w:rFonts w:ascii="Calibri" w:hAnsi="Calibri" w:eastAsia="宋体" w:cs="Times New Roman"/>
                <w:sz w:val="21"/>
                <w:szCs w:val="21"/>
              </w:rPr>
            </w:pPr>
          </w:p>
        </w:tc>
        <w:tc>
          <w:tcPr>
            <w:tcW w:w="3117" w:type="dxa"/>
            <w:vAlign w:val="center"/>
          </w:tcPr>
          <w:p>
            <w:pPr>
              <w:jc w:val="center"/>
              <w:rPr>
                <w:rFonts w:ascii="Calibri" w:hAnsi="Calibri" w:eastAsia="宋体" w:cs="Times New Roman"/>
                <w:sz w:val="21"/>
                <w:szCs w:val="21"/>
              </w:rPr>
            </w:pPr>
            <w:r>
              <w:rPr>
                <w:rFonts w:ascii="Segoe UI Symbol" w:hAnsi="Segoe UI Symbol" w:eastAsia="宋体" w:cs="Segoe UI Symbol"/>
                <w:sz w:val="21"/>
                <w:szCs w:val="21"/>
              </w:rPr>
              <w:t>★</w:t>
            </w:r>
            <w:r>
              <w:rPr>
                <w:rFonts w:ascii="Calibri" w:hAnsi="Calibri" w:eastAsia="宋体" w:cs="Times New Roman"/>
                <w:sz w:val="21"/>
                <w:szCs w:val="21"/>
              </w:rPr>
              <w:t>进厂安全须知</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进工厂须遵守的基本安全准则和对应警示标识。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numPr>
                <w:ilvl w:val="0"/>
                <w:numId w:val="7"/>
              </w:numPr>
              <w:jc w:val="center"/>
              <w:rPr>
                <w:rFonts w:ascii="Calibri" w:hAnsi="Calibri" w:eastAsia="宋体" w:cs="Times New Roman"/>
                <w:sz w:val="21"/>
                <w:szCs w:val="21"/>
              </w:rPr>
            </w:pPr>
          </w:p>
        </w:tc>
        <w:tc>
          <w:tcPr>
            <w:tcW w:w="3117" w:type="dxa"/>
            <w:vAlign w:val="center"/>
          </w:tcPr>
          <w:p>
            <w:pPr>
              <w:jc w:val="center"/>
              <w:rPr>
                <w:rFonts w:ascii="Calibri" w:hAnsi="Calibri" w:eastAsia="宋体" w:cs="Times New Roman"/>
                <w:sz w:val="21"/>
                <w:szCs w:val="21"/>
              </w:rPr>
            </w:pPr>
            <w:r>
              <w:rPr>
                <w:rFonts w:ascii="Segoe UI Symbol" w:hAnsi="Segoe UI Symbol" w:eastAsia="宋体" w:cs="Segoe UI Symbol"/>
                <w:sz w:val="21"/>
                <w:szCs w:val="21"/>
              </w:rPr>
              <w:t>★</w:t>
            </w:r>
            <w:r>
              <w:rPr>
                <w:rFonts w:ascii="Calibri" w:hAnsi="Calibri" w:eastAsia="宋体" w:cs="Times New Roman"/>
                <w:sz w:val="21"/>
                <w:szCs w:val="21"/>
              </w:rPr>
              <w:t>园区、厂区简介</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园区、厂区的基本简介+航拍图（此项非必须）。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numPr>
                <w:ilvl w:val="0"/>
                <w:numId w:val="7"/>
              </w:numPr>
              <w:jc w:val="center"/>
              <w:rPr>
                <w:rFonts w:ascii="Calibri" w:hAnsi="Calibri" w:eastAsia="宋体" w:cs="Times New Roman"/>
                <w:sz w:val="21"/>
                <w:szCs w:val="21"/>
              </w:rPr>
            </w:pPr>
          </w:p>
        </w:tc>
        <w:tc>
          <w:tcPr>
            <w:tcW w:w="3117" w:type="dxa"/>
            <w:vAlign w:val="center"/>
          </w:tcPr>
          <w:p>
            <w:pPr>
              <w:jc w:val="center"/>
              <w:rPr>
                <w:rFonts w:ascii="Calibri" w:hAnsi="Calibri" w:eastAsia="宋体" w:cs="Times New Roman"/>
                <w:sz w:val="21"/>
                <w:szCs w:val="21"/>
              </w:rPr>
            </w:pPr>
            <w:r>
              <w:rPr>
                <w:rFonts w:ascii="Segoe UI Symbol" w:hAnsi="Segoe UI Symbol" w:eastAsia="宋体" w:cs="Segoe UI Symbol"/>
                <w:sz w:val="21"/>
                <w:szCs w:val="21"/>
              </w:rPr>
              <w:t>★</w:t>
            </w:r>
            <w:r>
              <w:rPr>
                <w:rFonts w:ascii="Calibri" w:hAnsi="Calibri" w:eastAsia="宋体" w:cs="Times New Roman"/>
                <w:sz w:val="21"/>
                <w:szCs w:val="21"/>
              </w:rPr>
              <w:t>园区、厂区安全组织架构图</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安全组织架构人员及职务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numPr>
                <w:ilvl w:val="0"/>
                <w:numId w:val="7"/>
              </w:numPr>
              <w:jc w:val="center"/>
              <w:rPr>
                <w:rFonts w:ascii="Calibri" w:hAnsi="Calibri" w:eastAsia="宋体" w:cs="Times New Roman"/>
                <w:sz w:val="21"/>
                <w:szCs w:val="21"/>
              </w:rPr>
            </w:pPr>
          </w:p>
        </w:tc>
        <w:tc>
          <w:tcPr>
            <w:tcW w:w="3117" w:type="dxa"/>
            <w:vAlign w:val="center"/>
          </w:tcPr>
          <w:p>
            <w:pPr>
              <w:jc w:val="center"/>
              <w:rPr>
                <w:rFonts w:ascii="Calibri" w:hAnsi="Calibri" w:eastAsia="宋体" w:cs="Times New Roman"/>
                <w:sz w:val="21"/>
                <w:szCs w:val="21"/>
              </w:rPr>
            </w:pPr>
            <w:r>
              <w:rPr>
                <w:rFonts w:ascii="Segoe UI Symbol" w:hAnsi="Segoe UI Symbol" w:eastAsia="宋体" w:cs="Segoe UI Symbol"/>
                <w:sz w:val="21"/>
                <w:szCs w:val="21"/>
              </w:rPr>
              <w:t>★</w:t>
            </w:r>
            <w:r>
              <w:rPr>
                <w:rFonts w:ascii="Calibri" w:hAnsi="Calibri" w:eastAsia="宋体" w:cs="Times New Roman"/>
                <w:sz w:val="21"/>
                <w:szCs w:val="21"/>
              </w:rPr>
              <w:t>安全生产方针、目标和理念</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企业安全生产方针、目标和安全理念。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numPr>
                <w:ilvl w:val="0"/>
                <w:numId w:val="7"/>
              </w:numPr>
              <w:jc w:val="center"/>
              <w:rPr>
                <w:rFonts w:ascii="Calibri" w:hAnsi="Calibri" w:eastAsia="宋体" w:cs="Times New Roman"/>
                <w:sz w:val="21"/>
                <w:szCs w:val="21"/>
              </w:rPr>
            </w:pPr>
          </w:p>
        </w:tc>
        <w:tc>
          <w:tcPr>
            <w:tcW w:w="3117" w:type="dxa"/>
            <w:vAlign w:val="center"/>
          </w:tcPr>
          <w:p>
            <w:pPr>
              <w:jc w:val="center"/>
              <w:rPr>
                <w:rFonts w:ascii="Calibri" w:hAnsi="Calibri" w:eastAsia="宋体" w:cs="Times New Roman"/>
                <w:sz w:val="21"/>
                <w:szCs w:val="21"/>
              </w:rPr>
            </w:pPr>
            <w:r>
              <w:rPr>
                <w:rFonts w:ascii="Segoe UI Symbol" w:hAnsi="Segoe UI Symbol" w:eastAsia="宋体" w:cs="Segoe UI Symbol"/>
                <w:sz w:val="21"/>
                <w:szCs w:val="21"/>
              </w:rPr>
              <w:t>★</w:t>
            </w:r>
            <w:r>
              <w:rPr>
                <w:rFonts w:ascii="Calibri" w:hAnsi="Calibri" w:eastAsia="宋体" w:cs="Times New Roman"/>
                <w:sz w:val="21"/>
                <w:szCs w:val="21"/>
              </w:rPr>
              <w:t>较大风险公告栏</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该厂（园）区存在的较大风险进行公示。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numPr>
                <w:ilvl w:val="0"/>
                <w:numId w:val="7"/>
              </w:numPr>
              <w:jc w:val="center"/>
              <w:rPr>
                <w:rFonts w:ascii="Calibri" w:hAnsi="Calibri" w:eastAsia="宋体" w:cs="Times New Roman"/>
                <w:sz w:val="21"/>
                <w:szCs w:val="21"/>
              </w:rPr>
            </w:pPr>
          </w:p>
        </w:tc>
        <w:tc>
          <w:tcPr>
            <w:tcW w:w="3117" w:type="dxa"/>
            <w:vAlign w:val="center"/>
          </w:tcPr>
          <w:p>
            <w:pPr>
              <w:jc w:val="center"/>
              <w:rPr>
                <w:rFonts w:ascii="Calibri" w:hAnsi="Calibri" w:eastAsia="宋体" w:cs="Times New Roman"/>
                <w:sz w:val="21"/>
                <w:szCs w:val="21"/>
              </w:rPr>
            </w:pPr>
            <w:r>
              <w:rPr>
                <w:rFonts w:ascii="Segoe UI Symbol" w:hAnsi="Segoe UI Symbol" w:eastAsia="宋体" w:cs="Segoe UI Symbol"/>
                <w:sz w:val="21"/>
                <w:szCs w:val="21"/>
              </w:rPr>
              <w:t>★</w:t>
            </w:r>
            <w:r>
              <w:rPr>
                <w:rFonts w:ascii="Calibri" w:hAnsi="Calibri" w:eastAsia="宋体" w:cs="Times New Roman"/>
                <w:sz w:val="21"/>
                <w:szCs w:val="21"/>
              </w:rPr>
              <w:t>安全风险四色图、紧急疏散图和应急联系电话</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可分两张图设计，也可合并为一张图。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numPr>
                <w:ilvl w:val="0"/>
                <w:numId w:val="7"/>
              </w:numPr>
              <w:jc w:val="center"/>
              <w:rPr>
                <w:rFonts w:ascii="Calibri" w:hAnsi="Calibri" w:eastAsia="宋体" w:cs="Times New Roman"/>
                <w:sz w:val="21"/>
                <w:szCs w:val="21"/>
              </w:rPr>
            </w:pPr>
          </w:p>
        </w:tc>
        <w:tc>
          <w:tcPr>
            <w:tcW w:w="3117" w:type="dxa"/>
            <w:vAlign w:val="center"/>
          </w:tcPr>
          <w:p>
            <w:pPr>
              <w:jc w:val="center"/>
              <w:rPr>
                <w:rFonts w:ascii="Calibri" w:hAnsi="Calibri" w:eastAsia="宋体" w:cs="Times New Roman"/>
                <w:sz w:val="21"/>
                <w:szCs w:val="21"/>
              </w:rPr>
            </w:pPr>
            <w:r>
              <w:rPr>
                <w:rFonts w:ascii="Segoe UI Symbol" w:hAnsi="Segoe UI Symbol" w:eastAsia="宋体" w:cs="Segoe UI Symbol"/>
                <w:sz w:val="21"/>
                <w:szCs w:val="21"/>
              </w:rPr>
              <w:t>☆</w:t>
            </w:r>
            <w:r>
              <w:rPr>
                <w:rFonts w:ascii="Calibri" w:hAnsi="Calibri" w:eastAsia="宋体" w:cs="Times New Roman"/>
                <w:sz w:val="21"/>
                <w:szCs w:val="21"/>
              </w:rPr>
              <w:t>隐患整改公示（非必须）</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对厂（园）区排查的隐患及整改情况进行公示。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numPr>
                <w:ilvl w:val="0"/>
                <w:numId w:val="7"/>
              </w:numPr>
              <w:jc w:val="center"/>
              <w:rPr>
                <w:rFonts w:ascii="Calibri" w:hAnsi="Calibri" w:eastAsia="宋体" w:cs="Times New Roman"/>
                <w:sz w:val="21"/>
                <w:szCs w:val="21"/>
              </w:rPr>
            </w:pPr>
          </w:p>
        </w:tc>
        <w:tc>
          <w:tcPr>
            <w:tcW w:w="3117" w:type="dxa"/>
            <w:vAlign w:val="center"/>
          </w:tcPr>
          <w:p>
            <w:pPr>
              <w:jc w:val="center"/>
              <w:rPr>
                <w:rFonts w:ascii="Calibri" w:hAnsi="Calibri" w:eastAsia="宋体" w:cs="Times New Roman"/>
                <w:sz w:val="21"/>
                <w:szCs w:val="21"/>
              </w:rPr>
            </w:pPr>
            <w:r>
              <w:rPr>
                <w:rFonts w:ascii="Segoe UI Symbol" w:hAnsi="Segoe UI Symbol" w:eastAsia="宋体" w:cs="Segoe UI Symbol"/>
                <w:sz w:val="21"/>
                <w:szCs w:val="21"/>
              </w:rPr>
              <w:t>☆</w:t>
            </w:r>
            <w:r>
              <w:rPr>
                <w:rFonts w:ascii="Calibri" w:hAnsi="Calibri" w:eastAsia="宋体" w:cs="Times New Roman"/>
                <w:sz w:val="21"/>
                <w:szCs w:val="21"/>
              </w:rPr>
              <w:t>通知栏（非必须）</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插卡式通知栏（A4纸）。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numPr>
                <w:ilvl w:val="0"/>
                <w:numId w:val="7"/>
              </w:numPr>
              <w:jc w:val="center"/>
              <w:rPr>
                <w:rFonts w:ascii="Calibri" w:hAnsi="Calibri" w:eastAsia="宋体" w:cs="Times New Roman"/>
                <w:sz w:val="21"/>
                <w:szCs w:val="21"/>
              </w:rPr>
            </w:pPr>
          </w:p>
        </w:tc>
        <w:tc>
          <w:tcPr>
            <w:tcW w:w="3117" w:type="dxa"/>
            <w:vAlign w:val="center"/>
          </w:tcPr>
          <w:p>
            <w:pPr>
              <w:jc w:val="center"/>
              <w:rPr>
                <w:rFonts w:ascii="Calibri" w:hAnsi="Calibri" w:eastAsia="宋体" w:cs="Times New Roman"/>
                <w:sz w:val="21"/>
                <w:szCs w:val="21"/>
              </w:rPr>
            </w:pPr>
            <w:r>
              <w:rPr>
                <w:rFonts w:ascii="Segoe UI Symbol" w:hAnsi="Segoe UI Symbol" w:eastAsia="宋体" w:cs="Segoe UI Symbol"/>
                <w:sz w:val="21"/>
                <w:szCs w:val="21"/>
              </w:rPr>
              <w:t>☆</w:t>
            </w:r>
            <w:r>
              <w:rPr>
                <w:rFonts w:ascii="Calibri" w:hAnsi="Calibri" w:eastAsia="宋体" w:cs="Times New Roman"/>
                <w:sz w:val="21"/>
                <w:szCs w:val="21"/>
              </w:rPr>
              <w:t>入厂前安全视频（非必须）</w:t>
            </w:r>
          </w:p>
        </w:tc>
        <w:tc>
          <w:tcPr>
            <w:tcW w:w="4730" w:type="dxa"/>
            <w:vAlign w:val="center"/>
          </w:tcPr>
          <w:p>
            <w:pPr>
              <w:jc w:val="center"/>
              <w:rPr>
                <w:rFonts w:ascii="Calibri" w:hAnsi="Calibri" w:eastAsia="宋体" w:cs="Times New Roman"/>
                <w:sz w:val="21"/>
                <w:szCs w:val="21"/>
              </w:rPr>
            </w:pPr>
            <w:r>
              <w:rPr>
                <w:rFonts w:ascii="Calibri" w:hAnsi="Calibri" w:eastAsia="宋体" w:cs="Times New Roman"/>
                <w:sz w:val="21"/>
                <w:szCs w:val="21"/>
              </w:rPr>
              <w:t>包括重大危险源、较大风险，基本安全准则，电视机或投影可设置在门卫室或培训室。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pPr>
              <w:jc w:val="center"/>
              <w:rPr>
                <w:rFonts w:ascii="Calibri" w:hAnsi="Calibri" w:eastAsia="宋体" w:cs="Times New Roman"/>
                <w:sz w:val="21"/>
                <w:szCs w:val="21"/>
              </w:rPr>
            </w:pPr>
            <w:r>
              <w:rPr>
                <w:rFonts w:ascii="Calibri" w:hAnsi="Calibri" w:eastAsia="宋体" w:cs="Times New Roman"/>
                <w:sz w:val="21"/>
                <w:szCs w:val="21"/>
              </w:rPr>
              <w:t>说明</w:t>
            </w:r>
          </w:p>
        </w:tc>
        <w:tc>
          <w:tcPr>
            <w:tcW w:w="7847" w:type="dxa"/>
            <w:gridSpan w:val="2"/>
            <w:vAlign w:val="center"/>
          </w:tcPr>
          <w:p>
            <w:pPr>
              <w:rPr>
                <w:rFonts w:ascii="Calibri" w:hAnsi="Calibri" w:eastAsia="宋体" w:cs="Times New Roman"/>
                <w:sz w:val="21"/>
                <w:szCs w:val="21"/>
              </w:rPr>
            </w:pPr>
            <w:r>
              <w:rPr>
                <w:rFonts w:ascii="Calibri" w:hAnsi="Calibri" w:eastAsia="宋体" w:cs="Times New Roman"/>
                <w:sz w:val="21"/>
                <w:szCs w:val="21"/>
              </w:rPr>
              <w:t>1.宣传栏尺寸、版式、材料不限，根据企业实际情况来设计。</w:t>
            </w:r>
          </w:p>
          <w:p>
            <w:pPr>
              <w:rPr>
                <w:rFonts w:ascii="Calibri" w:hAnsi="Calibri" w:eastAsia="宋体" w:cs="Times New Roman"/>
                <w:sz w:val="21"/>
                <w:szCs w:val="21"/>
              </w:rPr>
            </w:pPr>
            <w:r>
              <w:rPr>
                <w:rFonts w:ascii="Calibri" w:hAnsi="Calibri" w:eastAsia="宋体" w:cs="Times New Roman"/>
                <w:sz w:val="21"/>
                <w:szCs w:val="21"/>
              </w:rPr>
              <w:t>2.须设置在厂（园）区入口显著位置。</w:t>
            </w:r>
          </w:p>
          <w:p>
            <w:pPr>
              <w:rPr>
                <w:rFonts w:ascii="Calibri" w:hAnsi="Calibri" w:eastAsia="宋体" w:cs="Times New Roman"/>
                <w:sz w:val="21"/>
                <w:szCs w:val="21"/>
              </w:rPr>
            </w:pPr>
            <w:r>
              <w:rPr>
                <w:rFonts w:ascii="Calibri" w:hAnsi="Calibri" w:eastAsia="宋体" w:cs="Times New Roman"/>
                <w:sz w:val="21"/>
                <w:szCs w:val="21"/>
              </w:rPr>
              <w:t>3.宣传栏的门建议使用液压推杆，可定期更换宣传栏内容。</w:t>
            </w:r>
          </w:p>
          <w:p>
            <w:pPr>
              <w:rPr>
                <w:rFonts w:ascii="Calibri" w:hAnsi="Calibri" w:eastAsia="宋体" w:cs="Times New Roman"/>
                <w:sz w:val="21"/>
                <w:szCs w:val="21"/>
              </w:rPr>
            </w:pPr>
            <w:r>
              <w:rPr>
                <w:rFonts w:ascii="Calibri" w:hAnsi="Calibri" w:eastAsia="宋体" w:cs="Times New Roman"/>
                <w:sz w:val="21"/>
                <w:szCs w:val="21"/>
              </w:rPr>
              <w:t>4.建议整理好内容后，由广告公司进行设计、排版、制作和安装。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2" w:hRule="atLeast"/>
          <w:jc w:val="center"/>
        </w:trPr>
        <w:tc>
          <w:tcPr>
            <w:tcW w:w="846" w:type="dxa"/>
            <w:vAlign w:val="center"/>
          </w:tcPr>
          <w:p>
            <w:pPr>
              <w:jc w:val="center"/>
              <w:rPr>
                <w:rFonts w:ascii="Calibri" w:hAnsi="Calibri" w:eastAsia="宋体" w:cs="Times New Roman"/>
                <w:sz w:val="21"/>
                <w:szCs w:val="21"/>
              </w:rPr>
            </w:pPr>
            <w:r>
              <w:rPr>
                <w:rFonts w:ascii="Calibri" w:hAnsi="Calibri" w:eastAsia="宋体" w:cs="Times New Roman"/>
                <w:sz w:val="21"/>
                <w:szCs w:val="21"/>
              </w:rPr>
              <w:t>图例</w:t>
            </w:r>
          </w:p>
        </w:tc>
        <w:tc>
          <w:tcPr>
            <w:tcW w:w="7847" w:type="dxa"/>
            <w:gridSpan w:val="2"/>
            <w:vAlign w:val="center"/>
          </w:tcPr>
          <w:p>
            <w:pPr>
              <w:jc w:val="center"/>
              <w:rPr>
                <w:rFonts w:ascii="Calibri" w:hAnsi="Calibri" w:eastAsia="宋体" w:cs="Times New Roman"/>
                <w:sz w:val="21"/>
                <w:szCs w:val="21"/>
              </w:rPr>
            </w:pPr>
            <w:r>
              <w:rPr>
                <w:rFonts w:ascii="Calibri" w:hAnsi="Calibri" w:eastAsia="宋体" w:cs="Times New Roman"/>
                <w:sz w:val="21"/>
                <w:szCs w:val="21"/>
              </w:rPr>
              <w:drawing>
                <wp:inline distT="0" distB="0" distL="0" distR="0">
                  <wp:extent cx="3593465" cy="1793875"/>
                  <wp:effectExtent l="0" t="0" r="6985" b="0"/>
                  <wp:docPr id="30851" name="图片 3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1" name="图片 30851"/>
                          <pic:cNvPicPr>
                            <a:picLocks noChangeAspect="1"/>
                          </pic:cNvPicPr>
                        </pic:nvPicPr>
                        <pic:blipFill>
                          <a:blip r:embed="rId199"/>
                          <a:stretch>
                            <a:fillRect/>
                          </a:stretch>
                        </pic:blipFill>
                        <pic:spPr>
                          <a:xfrm>
                            <a:off x="0" y="0"/>
                            <a:ext cx="3604286" cy="1799545"/>
                          </a:xfrm>
                          <a:prstGeom prst="rect">
                            <a:avLst/>
                          </a:prstGeom>
                        </pic:spPr>
                      </pic:pic>
                    </a:graphicData>
                  </a:graphic>
                </wp:inline>
              </w:drawing>
            </w:r>
          </w:p>
        </w:tc>
      </w:tr>
    </w:tbl>
    <w:p>
      <w:pPr>
        <w:spacing w:after="120"/>
        <w:ind w:firstLine="480" w:firstLineChars="200"/>
        <w:rPr>
          <w:rFonts w:cs="Times New Roman" w:eastAsiaTheme="minorEastAsia"/>
          <w:sz w:val="24"/>
          <w:szCs w:val="21"/>
        </w:rPr>
        <w:sectPr>
          <w:pgSz w:w="11906" w:h="8391" w:orient="landscape"/>
          <w:pgMar w:top="1134" w:right="1418" w:bottom="1134" w:left="1077" w:header="851" w:footer="992" w:gutter="0"/>
          <w:cols w:space="425" w:num="1"/>
          <w:docGrid w:type="lines" w:linePitch="435" w:charSpace="0"/>
        </w:sectPr>
      </w:pPr>
    </w:p>
    <w:p>
      <w:pPr>
        <w:spacing w:after="120"/>
        <w:ind w:firstLine="480" w:firstLineChars="200"/>
        <w:rPr>
          <w:rFonts w:cs="Times New Roman" w:eastAsiaTheme="minorEastAsia"/>
          <w:sz w:val="24"/>
          <w:szCs w:val="21"/>
        </w:rPr>
      </w:pPr>
      <w:r>
        <w:rPr>
          <w:rFonts w:cs="Times New Roman" w:eastAsiaTheme="minorEastAsia"/>
          <w:sz w:val="24"/>
          <w:szCs w:val="21"/>
        </w:rPr>
        <w:t>（二）厂（工业园区）道路可视化设置：对厂（园）区道路主干道上设置人行道、车行道、斑马线、道路指向箭头、消防车道严禁占用等，达到人车分流、消防通道畅通等要求。并辅以限高、限速标志、凸面镜、消防栓指示牌、紧急集合点等，确保进入厂（园）区人员安全通行、应急有序。具体道路可视化设置参照如下：</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t>1.消防车道设置要求</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fldChar w:fldCharType="begin"/>
      </w:r>
      <w:r>
        <w:rPr>
          <w:rFonts w:eastAsia="宋体" w:cs="Times New Roman"/>
          <w:sz w:val="24"/>
        </w:rPr>
        <w:instrText xml:space="preserve"> = 1 \* GB3 </w:instrText>
      </w:r>
      <w:r>
        <w:rPr>
          <w:rFonts w:eastAsia="宋体" w:cs="Times New Roman"/>
          <w:sz w:val="24"/>
        </w:rPr>
        <w:fldChar w:fldCharType="separate"/>
      </w:r>
      <w:r>
        <w:rPr>
          <w:rFonts w:hint="eastAsia" w:eastAsia="宋体" w:cs="Times New Roman"/>
          <w:sz w:val="24"/>
        </w:rPr>
        <w:t>①</w:t>
      </w:r>
      <w:r>
        <w:rPr>
          <w:rFonts w:eastAsia="宋体" w:cs="Times New Roman"/>
          <w:sz w:val="24"/>
        </w:rPr>
        <w:fldChar w:fldCharType="end"/>
      </w:r>
      <w:r>
        <w:rPr>
          <w:rFonts w:eastAsia="宋体" w:cs="Times New Roman"/>
          <w:sz w:val="24"/>
        </w:rPr>
        <w:t>消防车道尺寸根据主次干道宽度来确定。</w:t>
      </w:r>
    </w:p>
    <w:p>
      <w:pPr>
        <w:adjustRightInd w:val="0"/>
        <w:snapToGrid w:val="0"/>
        <w:spacing w:line="360" w:lineRule="auto"/>
        <w:ind w:firstLine="480" w:firstLineChars="200"/>
        <w:contextualSpacing/>
        <w:jc w:val="left"/>
        <w:rPr>
          <w:rFonts w:eastAsia="宋体" w:cs="Times New Roman"/>
          <w:sz w:val="24"/>
        </w:rPr>
      </w:pPr>
      <w:r>
        <w:rPr>
          <w:rFonts w:eastAsia="宋体" w:cs="Times New Roman"/>
          <w:sz w:val="24"/>
        </w:rPr>
        <w:fldChar w:fldCharType="begin"/>
      </w:r>
      <w:r>
        <w:rPr>
          <w:rFonts w:eastAsia="宋体" w:cs="Times New Roman"/>
          <w:sz w:val="24"/>
        </w:rPr>
        <w:instrText xml:space="preserve"> = 2 \* GB3 </w:instrText>
      </w:r>
      <w:r>
        <w:rPr>
          <w:rFonts w:eastAsia="宋体" w:cs="Times New Roman"/>
          <w:sz w:val="24"/>
        </w:rPr>
        <w:fldChar w:fldCharType="separate"/>
      </w:r>
      <w:r>
        <w:rPr>
          <w:rFonts w:hint="eastAsia" w:eastAsia="宋体" w:cs="Times New Roman"/>
          <w:sz w:val="24"/>
        </w:rPr>
        <w:t>②</w:t>
      </w:r>
      <w:r>
        <w:rPr>
          <w:rFonts w:eastAsia="宋体" w:cs="Times New Roman"/>
          <w:sz w:val="24"/>
        </w:rPr>
        <w:fldChar w:fldCharType="end"/>
      </w:r>
      <w:r>
        <w:rPr>
          <w:rFonts w:eastAsia="宋体" w:cs="Times New Roman"/>
          <w:sz w:val="24"/>
        </w:rPr>
        <w:t>消防车道、防火间距、疏散通道、安全出口等区域应保持整洁通畅。</w:t>
      </w:r>
    </w:p>
    <w:p>
      <w:pPr>
        <w:spacing w:line="360" w:lineRule="auto"/>
        <w:jc w:val="center"/>
        <w:rPr>
          <w:rFonts w:eastAsia="宋体" w:cs="Times New Roman"/>
          <w:sz w:val="24"/>
        </w:rPr>
      </w:pPr>
      <w:r>
        <w:rPr>
          <w:rFonts w:eastAsia="宋体" w:cs="Times New Roman"/>
          <w:sz w:val="24"/>
        </w:rPr>
        <w:drawing>
          <wp:inline distT="0" distB="0" distL="0" distR="0">
            <wp:extent cx="2794635" cy="2004060"/>
            <wp:effectExtent l="0" t="0" r="5715" b="0"/>
            <wp:docPr id="30852" name="图片 3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2" name="图片 3085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2813841" cy="2018130"/>
                    </a:xfrm>
                    <a:prstGeom prst="rect">
                      <a:avLst/>
                    </a:prstGeom>
                    <a:noFill/>
                    <a:ln>
                      <a:noFill/>
                    </a:ln>
                  </pic:spPr>
                </pic:pic>
              </a:graphicData>
            </a:graphic>
          </wp:inline>
        </w:drawing>
      </w:r>
    </w:p>
    <w:p>
      <w:pPr>
        <w:pStyle w:val="2"/>
        <w:jc w:val="center"/>
        <w:rPr>
          <w:sz w:val="21"/>
          <w:szCs w:val="21"/>
        </w:rPr>
      </w:pPr>
      <w:r>
        <w:rPr>
          <w:rFonts w:hint="eastAsia"/>
          <w:sz w:val="21"/>
          <w:szCs w:val="21"/>
        </w:rPr>
        <w:t>图1</w:t>
      </w:r>
      <w:r>
        <w:rPr>
          <w:sz w:val="21"/>
          <w:szCs w:val="21"/>
        </w:rPr>
        <w:t>4.4</w:t>
      </w:r>
      <w:r>
        <w:rPr>
          <w:rFonts w:hint="eastAsia"/>
          <w:sz w:val="21"/>
          <w:szCs w:val="21"/>
        </w:rPr>
        <w:t>-</w:t>
      </w:r>
      <w:r>
        <w:rPr>
          <w:sz w:val="21"/>
          <w:szCs w:val="21"/>
        </w:rPr>
        <w:t>1</w:t>
      </w:r>
      <w:r>
        <w:rPr>
          <w:rFonts w:hint="eastAsia"/>
          <w:sz w:val="21"/>
          <w:szCs w:val="21"/>
        </w:rPr>
        <w:t>消防车道设置要求示例</w:t>
      </w:r>
    </w:p>
    <w:p>
      <w:pPr>
        <w:spacing w:line="360" w:lineRule="auto"/>
        <w:jc w:val="center"/>
        <w:rPr>
          <w:rFonts w:eastAsia="宋体" w:cs="Times New Roman"/>
          <w:sz w:val="24"/>
        </w:rPr>
      </w:pPr>
      <w:r>
        <w:rPr>
          <w:rFonts w:eastAsia="宋体" w:cs="Times New Roman"/>
          <w:sz w:val="24"/>
        </w:rPr>
        <w:drawing>
          <wp:inline distT="0" distB="0" distL="0" distR="0">
            <wp:extent cx="2355850" cy="1972310"/>
            <wp:effectExtent l="0" t="0" r="6350" b="8890"/>
            <wp:docPr id="30853" name="图片 30853"/>
            <wp:cNvGraphicFramePr/>
            <a:graphic xmlns:a="http://schemas.openxmlformats.org/drawingml/2006/main">
              <a:graphicData uri="http://schemas.openxmlformats.org/drawingml/2006/picture">
                <pic:pic xmlns:pic="http://schemas.openxmlformats.org/drawingml/2006/picture">
                  <pic:nvPicPr>
                    <pic:cNvPr id="30853" name="图片 30853"/>
                    <pic:cNvPicPr/>
                  </pic:nvPicPr>
                  <pic:blipFill>
                    <a:blip r:embed="rId201"/>
                    <a:stretch>
                      <a:fillRect/>
                    </a:stretch>
                  </pic:blipFill>
                  <pic:spPr>
                    <a:xfrm>
                      <a:off x="0" y="0"/>
                      <a:ext cx="2421356" cy="2026731"/>
                    </a:xfrm>
                    <a:prstGeom prst="rect">
                      <a:avLst/>
                    </a:prstGeom>
                  </pic:spPr>
                </pic:pic>
              </a:graphicData>
            </a:graphic>
          </wp:inline>
        </w:drawing>
      </w:r>
    </w:p>
    <w:p>
      <w:pPr>
        <w:pStyle w:val="2"/>
        <w:jc w:val="center"/>
        <w:rPr>
          <w:sz w:val="21"/>
          <w:szCs w:val="21"/>
        </w:rPr>
      </w:pPr>
      <w:r>
        <w:rPr>
          <w:rFonts w:hint="eastAsia"/>
          <w:sz w:val="21"/>
          <w:szCs w:val="21"/>
        </w:rPr>
        <w:t>图1</w:t>
      </w:r>
      <w:r>
        <w:rPr>
          <w:sz w:val="21"/>
          <w:szCs w:val="21"/>
        </w:rPr>
        <w:t>4.4</w:t>
      </w:r>
      <w:r>
        <w:rPr>
          <w:rFonts w:hint="eastAsia"/>
          <w:sz w:val="21"/>
          <w:szCs w:val="21"/>
        </w:rPr>
        <w:t>-</w:t>
      </w:r>
      <w:r>
        <w:rPr>
          <w:sz w:val="21"/>
          <w:szCs w:val="21"/>
        </w:rPr>
        <w:t>2</w:t>
      </w:r>
      <w:r>
        <w:rPr>
          <w:rFonts w:hint="eastAsia"/>
          <w:sz w:val="21"/>
          <w:szCs w:val="21"/>
        </w:rPr>
        <w:t>消防车道设置要求示例</w:t>
      </w:r>
    </w:p>
    <w:p>
      <w:pPr>
        <w:spacing w:after="120"/>
        <w:ind w:firstLine="480" w:firstLineChars="200"/>
        <w:rPr>
          <w:rFonts w:cs="Times New Roman" w:eastAsiaTheme="minorEastAsia"/>
          <w:sz w:val="24"/>
          <w:szCs w:val="21"/>
        </w:rPr>
      </w:pPr>
      <w:r>
        <w:rPr>
          <w:rFonts w:cs="Times New Roman" w:eastAsiaTheme="minorEastAsia"/>
          <w:sz w:val="24"/>
          <w:szCs w:val="21"/>
        </w:rPr>
        <w:t>2.人行道、车行道设置要求</w:t>
      </w:r>
    </w:p>
    <w:p>
      <w:pPr>
        <w:spacing w:after="120"/>
        <w:ind w:firstLine="480" w:firstLineChars="200"/>
        <w:rPr>
          <w:rFonts w:cs="Times New Roman" w:eastAsiaTheme="minorEastAsia"/>
          <w:sz w:val="24"/>
          <w:szCs w:val="21"/>
        </w:rPr>
      </w:pPr>
      <w:r>
        <w:rPr>
          <w:rFonts w:cs="Times New Roman" w:eastAsiaTheme="minorEastAsia"/>
          <w:sz w:val="24"/>
          <w:szCs w:val="21"/>
        </w:rPr>
        <w:fldChar w:fldCharType="begin"/>
      </w:r>
      <w:r>
        <w:rPr>
          <w:rFonts w:cs="Times New Roman" w:eastAsiaTheme="minorEastAsia"/>
          <w:sz w:val="24"/>
          <w:szCs w:val="21"/>
        </w:rPr>
        <w:instrText xml:space="preserve"> = 1 \* GB3 </w:instrText>
      </w:r>
      <w:r>
        <w:rPr>
          <w:rFonts w:cs="Times New Roman" w:eastAsiaTheme="minorEastAsia"/>
          <w:sz w:val="24"/>
          <w:szCs w:val="21"/>
        </w:rPr>
        <w:fldChar w:fldCharType="separate"/>
      </w:r>
      <w:r>
        <w:rPr>
          <w:rFonts w:hint="eastAsia" w:cs="Times New Roman" w:eastAsiaTheme="minorEastAsia"/>
          <w:sz w:val="24"/>
          <w:szCs w:val="21"/>
        </w:rPr>
        <w:t>①</w:t>
      </w:r>
      <w:r>
        <w:rPr>
          <w:rFonts w:cs="Times New Roman" w:eastAsiaTheme="minorEastAsia"/>
          <w:sz w:val="24"/>
          <w:szCs w:val="21"/>
        </w:rPr>
        <w:fldChar w:fldCharType="end"/>
      </w:r>
      <w:r>
        <w:rPr>
          <w:rFonts w:cs="Times New Roman" w:eastAsiaTheme="minorEastAsia"/>
          <w:sz w:val="24"/>
          <w:szCs w:val="21"/>
        </w:rPr>
        <w:t>厂区道路应设置人行道、车行道、斑马线和指示箭头</w:t>
      </w:r>
    </w:p>
    <w:p>
      <w:pPr>
        <w:spacing w:after="120"/>
        <w:ind w:firstLine="480" w:firstLineChars="200"/>
        <w:rPr>
          <w:rFonts w:cs="Times New Roman" w:eastAsiaTheme="minorEastAsia"/>
          <w:sz w:val="24"/>
          <w:szCs w:val="21"/>
        </w:rPr>
      </w:pPr>
      <w:r>
        <w:rPr>
          <w:rFonts w:cs="Times New Roman" w:eastAsiaTheme="minorEastAsia"/>
          <w:sz w:val="24"/>
          <w:szCs w:val="21"/>
        </w:rPr>
        <w:fldChar w:fldCharType="begin"/>
      </w:r>
      <w:r>
        <w:rPr>
          <w:rFonts w:cs="Times New Roman" w:eastAsiaTheme="minorEastAsia"/>
          <w:sz w:val="24"/>
          <w:szCs w:val="21"/>
        </w:rPr>
        <w:instrText xml:space="preserve"> = 2 \* GB3 </w:instrText>
      </w:r>
      <w:r>
        <w:rPr>
          <w:rFonts w:cs="Times New Roman" w:eastAsiaTheme="minorEastAsia"/>
          <w:sz w:val="24"/>
          <w:szCs w:val="21"/>
        </w:rPr>
        <w:fldChar w:fldCharType="separate"/>
      </w:r>
      <w:r>
        <w:rPr>
          <w:rFonts w:hint="eastAsia" w:cs="Times New Roman" w:eastAsiaTheme="minorEastAsia"/>
          <w:sz w:val="24"/>
          <w:szCs w:val="21"/>
        </w:rPr>
        <w:t>②</w:t>
      </w:r>
      <w:r>
        <w:rPr>
          <w:rFonts w:cs="Times New Roman" w:eastAsiaTheme="minorEastAsia"/>
          <w:sz w:val="24"/>
          <w:szCs w:val="21"/>
        </w:rPr>
        <w:fldChar w:fldCharType="end"/>
      </w:r>
      <w:r>
        <w:rPr>
          <w:rFonts w:cs="Times New Roman" w:eastAsiaTheme="minorEastAsia"/>
          <w:sz w:val="24"/>
          <w:szCs w:val="21"/>
        </w:rPr>
        <w:t>人行道划线为白色实线，车行道中心线为黄色虚线或实线（实线为不可借道）。</w:t>
      </w:r>
    </w:p>
    <w:p>
      <w:pPr>
        <w:spacing w:after="120"/>
        <w:ind w:firstLine="480" w:firstLineChars="200"/>
        <w:rPr>
          <w:rFonts w:cs="Times New Roman" w:eastAsiaTheme="minorEastAsia"/>
          <w:sz w:val="24"/>
          <w:szCs w:val="21"/>
        </w:rPr>
      </w:pPr>
      <w:r>
        <w:rPr>
          <w:rFonts w:cs="Times New Roman" w:eastAsiaTheme="minorEastAsia"/>
          <w:sz w:val="24"/>
          <w:szCs w:val="21"/>
        </w:rPr>
        <w:fldChar w:fldCharType="begin"/>
      </w:r>
      <w:r>
        <w:rPr>
          <w:rFonts w:cs="Times New Roman" w:eastAsiaTheme="minorEastAsia"/>
          <w:sz w:val="24"/>
          <w:szCs w:val="21"/>
        </w:rPr>
        <w:instrText xml:space="preserve"> = 3 \* GB3 </w:instrText>
      </w:r>
      <w:r>
        <w:rPr>
          <w:rFonts w:cs="Times New Roman" w:eastAsiaTheme="minorEastAsia"/>
          <w:sz w:val="24"/>
          <w:szCs w:val="21"/>
        </w:rPr>
        <w:fldChar w:fldCharType="separate"/>
      </w:r>
      <w:r>
        <w:rPr>
          <w:rFonts w:hint="eastAsia" w:cs="Times New Roman" w:eastAsiaTheme="minorEastAsia"/>
          <w:sz w:val="24"/>
          <w:szCs w:val="21"/>
        </w:rPr>
        <w:t>③</w:t>
      </w:r>
      <w:r>
        <w:rPr>
          <w:rFonts w:cs="Times New Roman" w:eastAsiaTheme="minorEastAsia"/>
          <w:sz w:val="24"/>
          <w:szCs w:val="21"/>
        </w:rPr>
        <w:fldChar w:fldCharType="end"/>
      </w:r>
      <w:r>
        <w:rPr>
          <w:rFonts w:cs="Times New Roman" w:eastAsiaTheme="minorEastAsia"/>
          <w:sz w:val="24"/>
          <w:szCs w:val="21"/>
        </w:rPr>
        <w:t>斑马线为白色，过斑马线前设置黄色地面警示标识，提醒过马路“一停二看三通过”。</w:t>
      </w:r>
    </w:p>
    <w:p>
      <w:pPr>
        <w:spacing w:line="360" w:lineRule="auto"/>
        <w:ind w:firstLine="240" w:firstLineChars="100"/>
        <w:jc w:val="center"/>
        <w:rPr>
          <w:rFonts w:eastAsia="宋体" w:cs="Times New Roman"/>
          <w:sz w:val="24"/>
        </w:rPr>
      </w:pPr>
      <w:r>
        <w:rPr>
          <w:rFonts w:eastAsia="宋体" w:cs="Times New Roman"/>
          <w:sz w:val="24"/>
        </w:rPr>
        <w:drawing>
          <wp:inline distT="0" distB="0" distL="0" distR="0">
            <wp:extent cx="1756410" cy="1799590"/>
            <wp:effectExtent l="0" t="0" r="0" b="0"/>
            <wp:docPr id="30854" name="图片 30854"/>
            <wp:cNvGraphicFramePr/>
            <a:graphic xmlns:a="http://schemas.openxmlformats.org/drawingml/2006/main">
              <a:graphicData uri="http://schemas.openxmlformats.org/drawingml/2006/picture">
                <pic:pic xmlns:pic="http://schemas.openxmlformats.org/drawingml/2006/picture">
                  <pic:nvPicPr>
                    <pic:cNvPr id="30854" name="图片 30854"/>
                    <pic:cNvPicPr/>
                  </pic:nvPicPr>
                  <pic:blipFill>
                    <a:blip r:embed="rId202"/>
                    <a:stretch>
                      <a:fillRect/>
                    </a:stretch>
                  </pic:blipFill>
                  <pic:spPr>
                    <a:xfrm>
                      <a:off x="0" y="0"/>
                      <a:ext cx="1756800" cy="1800000"/>
                    </a:xfrm>
                    <a:prstGeom prst="rect">
                      <a:avLst/>
                    </a:prstGeom>
                  </pic:spPr>
                </pic:pic>
              </a:graphicData>
            </a:graphic>
          </wp:inline>
        </w:drawing>
      </w:r>
      <w:r>
        <w:rPr>
          <w:rFonts w:eastAsia="宋体" w:cs="Times New Roman"/>
          <w:sz w:val="24"/>
        </w:rPr>
        <w:t xml:space="preserve"> </w:t>
      </w:r>
      <w:r>
        <w:rPr>
          <w:rFonts w:eastAsia="宋体" w:cs="Times New Roman"/>
          <w:sz w:val="24"/>
        </w:rPr>
        <w:drawing>
          <wp:inline distT="0" distB="0" distL="0" distR="0">
            <wp:extent cx="1605280" cy="1799590"/>
            <wp:effectExtent l="0" t="0" r="0" b="0"/>
            <wp:docPr id="308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5" name="图片 11"/>
                    <pic:cNvPicPr>
                      <a:picLocks noChangeAspect="1"/>
                    </pic:cNvPicPr>
                  </pic:nvPicPr>
                  <pic:blipFill>
                    <a:blip r:embed="rId203"/>
                    <a:stretch>
                      <a:fillRect/>
                    </a:stretch>
                  </pic:blipFill>
                  <pic:spPr>
                    <a:xfrm>
                      <a:off x="0" y="0"/>
                      <a:ext cx="1605600" cy="1800000"/>
                    </a:xfrm>
                    <a:prstGeom prst="rect">
                      <a:avLst/>
                    </a:prstGeom>
                  </pic:spPr>
                </pic:pic>
              </a:graphicData>
            </a:graphic>
          </wp:inline>
        </w:drawing>
      </w:r>
      <w:r>
        <w:rPr>
          <w:rFonts w:eastAsia="宋体" w:cs="Times New Roman"/>
          <w:sz w:val="24"/>
        </w:rPr>
        <w:drawing>
          <wp:inline distT="0" distB="0" distL="0" distR="0">
            <wp:extent cx="1572895" cy="1799590"/>
            <wp:effectExtent l="0" t="0" r="8255" b="0"/>
            <wp:docPr id="308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6" name="图片 8"/>
                    <pic:cNvPicPr>
                      <a:picLocks noChangeAspect="1"/>
                    </pic:cNvPicPr>
                  </pic:nvPicPr>
                  <pic:blipFill>
                    <a:blip r:embed="rId204"/>
                    <a:stretch>
                      <a:fillRect/>
                    </a:stretch>
                  </pic:blipFill>
                  <pic:spPr>
                    <a:xfrm>
                      <a:off x="0" y="0"/>
                      <a:ext cx="1573200" cy="1800000"/>
                    </a:xfrm>
                    <a:prstGeom prst="rect">
                      <a:avLst/>
                    </a:prstGeom>
                  </pic:spPr>
                </pic:pic>
              </a:graphicData>
            </a:graphic>
          </wp:inline>
        </w:drawing>
      </w:r>
    </w:p>
    <w:p>
      <w:pPr>
        <w:pStyle w:val="2"/>
        <w:jc w:val="center"/>
        <w:rPr>
          <w:sz w:val="21"/>
          <w:szCs w:val="21"/>
        </w:rPr>
      </w:pPr>
      <w:r>
        <w:rPr>
          <w:rFonts w:hint="eastAsia"/>
          <w:sz w:val="21"/>
          <w:szCs w:val="21"/>
        </w:rPr>
        <w:t>图1</w:t>
      </w:r>
      <w:r>
        <w:rPr>
          <w:sz w:val="21"/>
          <w:szCs w:val="21"/>
        </w:rPr>
        <w:t>4.4</w:t>
      </w:r>
      <w:r>
        <w:rPr>
          <w:rFonts w:hint="eastAsia"/>
          <w:sz w:val="21"/>
          <w:szCs w:val="21"/>
        </w:rPr>
        <w:t>-</w:t>
      </w:r>
      <w:r>
        <w:rPr>
          <w:sz w:val="21"/>
          <w:szCs w:val="21"/>
        </w:rPr>
        <w:t>3</w:t>
      </w:r>
      <w:r>
        <w:rPr>
          <w:rFonts w:hint="eastAsia"/>
          <w:sz w:val="21"/>
          <w:szCs w:val="21"/>
        </w:rPr>
        <w:t>人行道、车行道设置要求示例</w:t>
      </w:r>
    </w:p>
    <w:p>
      <w:pPr>
        <w:spacing w:after="120"/>
        <w:ind w:firstLine="480" w:firstLineChars="200"/>
        <w:rPr>
          <w:rFonts w:cs="Times New Roman" w:eastAsiaTheme="minorEastAsia"/>
          <w:sz w:val="24"/>
          <w:szCs w:val="21"/>
        </w:rPr>
      </w:pPr>
      <w:r>
        <w:rPr>
          <w:rFonts w:cs="Times New Roman" w:eastAsiaTheme="minorEastAsia"/>
          <w:sz w:val="24"/>
          <w:szCs w:val="21"/>
        </w:rPr>
        <w:t>3.导向牌。在超过5个独立建筑物的厂（园）区内，设置导向牌，方便外来人员及时到达目的地。</w:t>
      </w:r>
    </w:p>
    <w:p>
      <w:pPr>
        <w:spacing w:line="360" w:lineRule="auto"/>
        <w:jc w:val="center"/>
        <w:rPr>
          <w:rFonts w:eastAsia="宋体" w:cs="Times New Roman"/>
          <w:sz w:val="24"/>
        </w:rPr>
      </w:pPr>
      <w:r>
        <w:rPr>
          <w:rFonts w:eastAsia="宋体" w:cs="Times New Roman"/>
          <w:sz w:val="24"/>
        </w:rPr>
        <w:drawing>
          <wp:inline distT="0" distB="0" distL="0" distR="0">
            <wp:extent cx="3041650" cy="1799590"/>
            <wp:effectExtent l="0" t="0" r="6350" b="0"/>
            <wp:docPr id="30857" name="图片 3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7" name="图片 3085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3042000" cy="1800000"/>
                    </a:xfrm>
                    <a:prstGeom prst="rect">
                      <a:avLst/>
                    </a:prstGeom>
                    <a:noFill/>
                  </pic:spPr>
                </pic:pic>
              </a:graphicData>
            </a:graphic>
          </wp:inline>
        </w:drawing>
      </w:r>
    </w:p>
    <w:p>
      <w:pPr>
        <w:pStyle w:val="2"/>
        <w:jc w:val="center"/>
        <w:rPr>
          <w:sz w:val="21"/>
          <w:szCs w:val="21"/>
        </w:rPr>
      </w:pPr>
      <w:r>
        <w:rPr>
          <w:rFonts w:hint="eastAsia"/>
          <w:sz w:val="21"/>
          <w:szCs w:val="21"/>
        </w:rPr>
        <w:t>图1</w:t>
      </w:r>
      <w:r>
        <w:rPr>
          <w:sz w:val="21"/>
          <w:szCs w:val="21"/>
        </w:rPr>
        <w:t>4.4</w:t>
      </w:r>
      <w:r>
        <w:rPr>
          <w:rFonts w:hint="eastAsia"/>
          <w:sz w:val="21"/>
          <w:szCs w:val="21"/>
        </w:rPr>
        <w:t>-</w:t>
      </w:r>
      <w:r>
        <w:rPr>
          <w:sz w:val="21"/>
          <w:szCs w:val="21"/>
        </w:rPr>
        <w:t>4</w:t>
      </w:r>
      <w:r>
        <w:rPr>
          <w:rFonts w:hint="eastAsia"/>
          <w:sz w:val="21"/>
          <w:szCs w:val="21"/>
        </w:rPr>
        <w:t>导向牌示例</w:t>
      </w:r>
    </w:p>
    <w:p>
      <w:pPr>
        <w:spacing w:after="120"/>
        <w:ind w:firstLine="480" w:firstLineChars="200"/>
        <w:rPr>
          <w:rFonts w:cs="Times New Roman" w:eastAsiaTheme="minorEastAsia"/>
          <w:sz w:val="24"/>
          <w:szCs w:val="21"/>
        </w:rPr>
      </w:pPr>
      <w:r>
        <w:rPr>
          <w:rFonts w:cs="Times New Roman" w:eastAsiaTheme="minorEastAsia"/>
          <w:sz w:val="24"/>
          <w:szCs w:val="21"/>
        </w:rPr>
        <w:t>4.凸面镜。在厂区道路转角有视觉盲区的地方设置凸面镜，确保交通安全。</w:t>
      </w:r>
    </w:p>
    <w:p>
      <w:pPr>
        <w:spacing w:line="360" w:lineRule="auto"/>
        <w:jc w:val="center"/>
        <w:rPr>
          <w:rFonts w:eastAsia="宋体" w:cs="Times New Roman"/>
          <w:sz w:val="24"/>
        </w:rPr>
      </w:pPr>
      <w:r>
        <w:rPr>
          <w:rFonts w:eastAsia="宋体" w:cs="Times New Roman"/>
          <w:sz w:val="24"/>
        </w:rPr>
        <w:drawing>
          <wp:inline distT="0" distB="0" distL="0" distR="0">
            <wp:extent cx="2807970" cy="1799590"/>
            <wp:effectExtent l="0" t="0" r="0" b="0"/>
            <wp:docPr id="30858" name="图片 3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8" name="图片 3085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a:xfrm>
                      <a:off x="0" y="0"/>
                      <a:ext cx="2808000" cy="1800000"/>
                    </a:xfrm>
                    <a:prstGeom prst="rect">
                      <a:avLst/>
                    </a:prstGeom>
                    <a:noFill/>
                  </pic:spPr>
                </pic:pic>
              </a:graphicData>
            </a:graphic>
          </wp:inline>
        </w:drawing>
      </w:r>
    </w:p>
    <w:p>
      <w:pPr>
        <w:pStyle w:val="2"/>
        <w:jc w:val="center"/>
        <w:rPr>
          <w:sz w:val="21"/>
          <w:szCs w:val="21"/>
        </w:rPr>
      </w:pPr>
      <w:r>
        <w:rPr>
          <w:rFonts w:hint="eastAsia"/>
          <w:sz w:val="21"/>
          <w:szCs w:val="21"/>
        </w:rPr>
        <w:t>图1</w:t>
      </w:r>
      <w:r>
        <w:rPr>
          <w:sz w:val="21"/>
          <w:szCs w:val="21"/>
        </w:rPr>
        <w:t>4.4</w:t>
      </w:r>
      <w:r>
        <w:rPr>
          <w:rFonts w:hint="eastAsia"/>
          <w:sz w:val="21"/>
          <w:szCs w:val="21"/>
        </w:rPr>
        <w:t>-</w:t>
      </w:r>
      <w:r>
        <w:rPr>
          <w:sz w:val="21"/>
          <w:szCs w:val="21"/>
        </w:rPr>
        <w:t>5</w:t>
      </w:r>
      <w:r>
        <w:rPr>
          <w:rFonts w:hint="eastAsia"/>
          <w:sz w:val="21"/>
          <w:szCs w:val="21"/>
        </w:rPr>
        <w:t>凸面镜示例</w:t>
      </w:r>
    </w:p>
    <w:p>
      <w:pPr>
        <w:spacing w:line="360" w:lineRule="auto"/>
        <w:ind w:firstLine="480" w:firstLineChars="200"/>
        <w:rPr>
          <w:rFonts w:eastAsia="宋体" w:cs="Times New Roman"/>
          <w:sz w:val="24"/>
          <w:szCs w:val="21"/>
        </w:rPr>
      </w:pPr>
    </w:p>
    <w:p>
      <w:pPr>
        <w:spacing w:after="120"/>
        <w:ind w:firstLine="480" w:firstLineChars="200"/>
        <w:rPr>
          <w:rFonts w:cs="Times New Roman" w:eastAsiaTheme="minorEastAsia"/>
          <w:sz w:val="24"/>
          <w:szCs w:val="21"/>
        </w:rPr>
      </w:pPr>
    </w:p>
    <w:p>
      <w:pPr>
        <w:spacing w:after="120"/>
        <w:ind w:firstLine="480" w:firstLineChars="200"/>
        <w:rPr>
          <w:rFonts w:cs="Times New Roman" w:eastAsiaTheme="minorEastAsia"/>
          <w:sz w:val="24"/>
          <w:szCs w:val="21"/>
        </w:rPr>
      </w:pPr>
      <w:r>
        <w:rPr>
          <w:rFonts w:cs="Times New Roman" w:eastAsiaTheme="minorEastAsia"/>
          <w:sz w:val="24"/>
          <w:szCs w:val="21"/>
        </w:rPr>
        <w:t>5.限速、限高标志。在车行道、车间入口设置限速标识，主干道≤30km/h；其他道路≤15km/h；道口、交叉口、装卸作业、下坡道等≤10km/h；进出厂房、仓库、车间大门等≤5km/h。架空管道、车间入口等区域设置限高标识。</w:t>
      </w:r>
    </w:p>
    <w:p>
      <w:pPr>
        <w:spacing w:line="360" w:lineRule="auto"/>
        <w:jc w:val="center"/>
        <w:rPr>
          <w:rFonts w:eastAsia="宋体" w:cs="Times New Roman"/>
          <w:sz w:val="24"/>
        </w:rPr>
      </w:pPr>
      <w:r>
        <w:rPr>
          <w:rFonts w:eastAsia="宋体" w:cs="Times New Roman"/>
          <w:sz w:val="24"/>
        </w:rPr>
        <w:drawing>
          <wp:inline distT="0" distB="0" distL="0" distR="0">
            <wp:extent cx="1193165" cy="1621155"/>
            <wp:effectExtent l="0" t="0" r="6985" b="0"/>
            <wp:docPr id="30859" name="图片 30859"/>
            <wp:cNvGraphicFramePr/>
            <a:graphic xmlns:a="http://schemas.openxmlformats.org/drawingml/2006/main">
              <a:graphicData uri="http://schemas.openxmlformats.org/drawingml/2006/picture">
                <pic:pic xmlns:pic="http://schemas.openxmlformats.org/drawingml/2006/picture">
                  <pic:nvPicPr>
                    <pic:cNvPr id="30859" name="图片 30859"/>
                    <pic:cNvPicPr/>
                  </pic:nvPicPr>
                  <pic:blipFill>
                    <a:blip r:embed="rId207"/>
                    <a:srcRect r="4923"/>
                    <a:stretch>
                      <a:fillRect/>
                    </a:stretch>
                  </pic:blipFill>
                  <pic:spPr>
                    <a:xfrm>
                      <a:off x="0" y="0"/>
                      <a:ext cx="1212789" cy="1647692"/>
                    </a:xfrm>
                    <a:prstGeom prst="rect">
                      <a:avLst/>
                    </a:prstGeom>
                    <a:ln>
                      <a:noFill/>
                    </a:ln>
                  </pic:spPr>
                </pic:pic>
              </a:graphicData>
            </a:graphic>
          </wp:inline>
        </w:drawing>
      </w:r>
      <w:r>
        <w:rPr>
          <w:rFonts w:eastAsia="宋体" w:cs="Times New Roman"/>
          <w:sz w:val="24"/>
        </w:rPr>
        <w:t xml:space="preserve">   </w:t>
      </w:r>
      <w:r>
        <w:rPr>
          <w:rFonts w:eastAsia="宋体" w:cs="Times New Roman"/>
          <w:sz w:val="24"/>
        </w:rPr>
        <w:drawing>
          <wp:inline distT="0" distB="0" distL="0" distR="0">
            <wp:extent cx="1753870" cy="1664970"/>
            <wp:effectExtent l="0" t="0" r="0" b="0"/>
            <wp:docPr id="30860" name="图片 30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0" name="图片 30860"/>
                    <pic:cNvPicPr>
                      <a:picLocks noChangeAspect="1"/>
                    </pic:cNvPicPr>
                  </pic:nvPicPr>
                  <pic:blipFill>
                    <a:blip r:embed="rId208"/>
                    <a:stretch>
                      <a:fillRect/>
                    </a:stretch>
                  </pic:blipFill>
                  <pic:spPr>
                    <a:xfrm>
                      <a:off x="0" y="0"/>
                      <a:ext cx="1803314" cy="1711946"/>
                    </a:xfrm>
                    <a:prstGeom prst="rect">
                      <a:avLst/>
                    </a:prstGeom>
                  </pic:spPr>
                </pic:pic>
              </a:graphicData>
            </a:graphic>
          </wp:inline>
        </w:drawing>
      </w:r>
    </w:p>
    <w:p>
      <w:pPr>
        <w:pStyle w:val="2"/>
        <w:jc w:val="center"/>
        <w:rPr>
          <w:sz w:val="21"/>
          <w:szCs w:val="21"/>
        </w:rPr>
      </w:pPr>
      <w:r>
        <w:rPr>
          <w:rFonts w:hint="eastAsia"/>
          <w:sz w:val="21"/>
          <w:szCs w:val="21"/>
        </w:rPr>
        <w:t>图1</w:t>
      </w:r>
      <w:r>
        <w:rPr>
          <w:sz w:val="21"/>
          <w:szCs w:val="21"/>
        </w:rPr>
        <w:t>4.4</w:t>
      </w:r>
      <w:r>
        <w:rPr>
          <w:rFonts w:hint="eastAsia"/>
          <w:sz w:val="21"/>
          <w:szCs w:val="21"/>
        </w:rPr>
        <w:t>-</w:t>
      </w:r>
      <w:r>
        <w:rPr>
          <w:sz w:val="21"/>
          <w:szCs w:val="21"/>
        </w:rPr>
        <w:t>6</w:t>
      </w:r>
      <w:r>
        <w:rPr>
          <w:rFonts w:hint="eastAsia"/>
          <w:sz w:val="21"/>
          <w:szCs w:val="21"/>
        </w:rPr>
        <w:t>.限速、限高标志示例</w:t>
      </w:r>
    </w:p>
    <w:p>
      <w:pPr>
        <w:spacing w:after="120"/>
        <w:ind w:firstLine="480" w:firstLineChars="200"/>
        <w:rPr>
          <w:rFonts w:cs="Times New Roman" w:eastAsiaTheme="minorEastAsia"/>
          <w:sz w:val="24"/>
          <w:szCs w:val="21"/>
        </w:rPr>
      </w:pPr>
      <w:r>
        <w:rPr>
          <w:rFonts w:cs="Times New Roman" w:eastAsiaTheme="minorEastAsia"/>
          <w:sz w:val="24"/>
          <w:szCs w:val="21"/>
        </w:rPr>
        <w:t>6.停车场划线。在固定停车场设置车位划线。在机动车停车场设置停车场标识。</w:t>
      </w:r>
    </w:p>
    <w:p>
      <w:pPr>
        <w:spacing w:line="360" w:lineRule="auto"/>
        <w:jc w:val="center"/>
        <w:rPr>
          <w:rFonts w:eastAsia="宋体" w:cs="Times New Roman"/>
          <w:sz w:val="24"/>
        </w:rPr>
      </w:pPr>
      <w:r>
        <w:rPr>
          <w:rFonts w:eastAsia="宋体" w:cs="Times New Roman"/>
          <w:sz w:val="24"/>
        </w:rPr>
        <w:drawing>
          <wp:inline distT="0" distB="0" distL="0" distR="0">
            <wp:extent cx="1642745" cy="1731645"/>
            <wp:effectExtent l="0" t="0" r="0" b="1905"/>
            <wp:docPr id="30861" name="图片 30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1" name="图片 30861"/>
                    <pic:cNvPicPr>
                      <a:picLocks noChangeAspect="1" noChangeArrowheads="1"/>
                    </pic:cNvPicPr>
                  </pic:nvPicPr>
                  <pic:blipFill>
                    <a:blip r:embed="rId209" cstate="print">
                      <a:extLst>
                        <a:ext uri="{28A0092B-C50C-407E-A947-70E740481C1C}">
                          <a14:useLocalDpi xmlns:a14="http://schemas.microsoft.com/office/drawing/2010/main" val="0"/>
                        </a:ext>
                      </a:extLst>
                    </a:blip>
                    <a:srcRect t="5692"/>
                    <a:stretch>
                      <a:fillRect/>
                    </a:stretch>
                  </pic:blipFill>
                  <pic:spPr>
                    <a:xfrm>
                      <a:off x="0" y="0"/>
                      <a:ext cx="1705940" cy="1798415"/>
                    </a:xfrm>
                    <a:prstGeom prst="rect">
                      <a:avLst/>
                    </a:prstGeom>
                    <a:noFill/>
                  </pic:spPr>
                </pic:pic>
              </a:graphicData>
            </a:graphic>
          </wp:inline>
        </w:drawing>
      </w:r>
      <w:r>
        <w:rPr>
          <w:rFonts w:eastAsia="宋体" w:cs="Times New Roman"/>
          <w:sz w:val="24"/>
        </w:rPr>
        <w:t xml:space="preserve"> </w:t>
      </w:r>
      <w:r>
        <w:rPr>
          <w:rFonts w:eastAsia="宋体" w:cs="Times New Roman"/>
          <w:sz w:val="24"/>
        </w:rPr>
        <w:drawing>
          <wp:inline distT="0" distB="0" distL="0" distR="0">
            <wp:extent cx="1510030" cy="1741805"/>
            <wp:effectExtent l="0" t="0" r="0" b="0"/>
            <wp:docPr id="30862" name="图片 30862"/>
            <wp:cNvGraphicFramePr/>
            <a:graphic xmlns:a="http://schemas.openxmlformats.org/drawingml/2006/main">
              <a:graphicData uri="http://schemas.openxmlformats.org/drawingml/2006/picture">
                <pic:pic xmlns:pic="http://schemas.openxmlformats.org/drawingml/2006/picture">
                  <pic:nvPicPr>
                    <pic:cNvPr id="30862" name="图片 30862"/>
                    <pic:cNvPicPr/>
                  </pic:nvPicPr>
                  <pic:blipFill>
                    <a:blip r:embed="rId210"/>
                    <a:stretch>
                      <a:fillRect/>
                    </a:stretch>
                  </pic:blipFill>
                  <pic:spPr>
                    <a:xfrm>
                      <a:off x="0" y="0"/>
                      <a:ext cx="1552174" cy="1790940"/>
                    </a:xfrm>
                    <a:prstGeom prst="rect">
                      <a:avLst/>
                    </a:prstGeom>
                  </pic:spPr>
                </pic:pic>
              </a:graphicData>
            </a:graphic>
          </wp:inline>
        </w:drawing>
      </w:r>
    </w:p>
    <w:p>
      <w:pPr>
        <w:pStyle w:val="2"/>
        <w:jc w:val="center"/>
        <w:rPr>
          <w:sz w:val="21"/>
          <w:szCs w:val="21"/>
        </w:rPr>
      </w:pPr>
      <w:r>
        <w:rPr>
          <w:rFonts w:hint="eastAsia"/>
          <w:sz w:val="21"/>
          <w:szCs w:val="21"/>
        </w:rPr>
        <w:t>图1</w:t>
      </w:r>
      <w:r>
        <w:rPr>
          <w:sz w:val="21"/>
          <w:szCs w:val="21"/>
        </w:rPr>
        <w:t>4.4</w:t>
      </w:r>
      <w:r>
        <w:rPr>
          <w:rFonts w:hint="eastAsia"/>
          <w:sz w:val="21"/>
          <w:szCs w:val="21"/>
        </w:rPr>
        <w:t>-</w:t>
      </w:r>
      <w:r>
        <w:rPr>
          <w:sz w:val="21"/>
          <w:szCs w:val="21"/>
        </w:rPr>
        <w:t>7</w:t>
      </w:r>
      <w:r>
        <w:rPr>
          <w:rFonts w:hint="eastAsia"/>
          <w:sz w:val="21"/>
          <w:szCs w:val="21"/>
        </w:rPr>
        <w:t>停车场示例</w:t>
      </w:r>
    </w:p>
    <w:p>
      <w:pPr>
        <w:spacing w:after="120"/>
        <w:ind w:firstLine="480" w:firstLineChars="200"/>
        <w:rPr>
          <w:rFonts w:cs="Times New Roman" w:eastAsiaTheme="minorEastAsia"/>
          <w:sz w:val="24"/>
          <w:szCs w:val="21"/>
        </w:rPr>
      </w:pPr>
      <w:r>
        <w:rPr>
          <w:rFonts w:cs="Times New Roman" w:eastAsiaTheme="minorEastAsia"/>
          <w:sz w:val="24"/>
          <w:szCs w:val="21"/>
        </w:rPr>
        <w:t>7.室外消防栓标志牌。室外消火栓周边一米，应无任何障碍物，对不易发现的地方，应设置“消火栓”指示牌。</w:t>
      </w:r>
    </w:p>
    <w:p>
      <w:pPr>
        <w:spacing w:line="360" w:lineRule="auto"/>
        <w:jc w:val="center"/>
        <w:rPr>
          <w:rFonts w:eastAsia="宋体" w:cs="Times New Roman"/>
          <w:sz w:val="24"/>
        </w:rPr>
      </w:pPr>
      <w:r>
        <w:rPr>
          <w:rFonts w:eastAsia="宋体" w:cs="Times New Roman"/>
          <w:sz w:val="24"/>
        </w:rPr>
        <w:drawing>
          <wp:inline distT="0" distB="0" distL="0" distR="0">
            <wp:extent cx="2595245" cy="1799590"/>
            <wp:effectExtent l="0" t="0" r="0" b="0"/>
            <wp:docPr id="30863" name="图片 30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3" name="图片 3086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2595600" cy="1800000"/>
                    </a:xfrm>
                    <a:prstGeom prst="rect">
                      <a:avLst/>
                    </a:prstGeom>
                    <a:noFill/>
                  </pic:spPr>
                </pic:pic>
              </a:graphicData>
            </a:graphic>
          </wp:inline>
        </w:drawing>
      </w:r>
    </w:p>
    <w:p>
      <w:pPr>
        <w:pStyle w:val="2"/>
        <w:jc w:val="center"/>
        <w:rPr>
          <w:sz w:val="21"/>
          <w:szCs w:val="21"/>
        </w:rPr>
      </w:pPr>
      <w:r>
        <w:rPr>
          <w:rFonts w:hint="eastAsia"/>
          <w:sz w:val="21"/>
          <w:szCs w:val="21"/>
        </w:rPr>
        <w:t>图1</w:t>
      </w:r>
      <w:r>
        <w:rPr>
          <w:sz w:val="21"/>
          <w:szCs w:val="21"/>
        </w:rPr>
        <w:t>4.4</w:t>
      </w:r>
      <w:r>
        <w:rPr>
          <w:rFonts w:hint="eastAsia"/>
          <w:sz w:val="21"/>
          <w:szCs w:val="21"/>
        </w:rPr>
        <w:t>-</w:t>
      </w:r>
      <w:r>
        <w:rPr>
          <w:sz w:val="21"/>
          <w:szCs w:val="21"/>
        </w:rPr>
        <w:t>8</w:t>
      </w:r>
      <w:r>
        <w:rPr>
          <w:rFonts w:hint="eastAsia"/>
          <w:sz w:val="21"/>
          <w:szCs w:val="21"/>
        </w:rPr>
        <w:t>室外消防栓标志牌示例</w:t>
      </w:r>
    </w:p>
    <w:p>
      <w:pPr>
        <w:spacing w:line="360" w:lineRule="auto"/>
        <w:ind w:firstLine="480" w:firstLineChars="200"/>
        <w:rPr>
          <w:rFonts w:eastAsia="宋体" w:cs="Times New Roman"/>
          <w:sz w:val="24"/>
          <w:szCs w:val="21"/>
        </w:rPr>
      </w:pPr>
    </w:p>
    <w:p>
      <w:pPr>
        <w:spacing w:line="360" w:lineRule="auto"/>
        <w:ind w:firstLine="480" w:firstLineChars="200"/>
        <w:rPr>
          <w:rFonts w:eastAsia="宋体" w:cs="Times New Roman"/>
          <w:sz w:val="24"/>
          <w:szCs w:val="21"/>
        </w:rPr>
      </w:pPr>
      <w:r>
        <w:rPr>
          <w:rFonts w:eastAsia="宋体" w:cs="Times New Roman"/>
          <w:sz w:val="24"/>
          <w:szCs w:val="21"/>
        </w:rPr>
        <w:t>8.</w:t>
      </w:r>
      <w:bookmarkStart w:id="83" w:name="_Hlk93489554"/>
      <w:r>
        <w:rPr>
          <w:rFonts w:eastAsia="宋体" w:cs="Times New Roman"/>
          <w:sz w:val="24"/>
          <w:szCs w:val="21"/>
        </w:rPr>
        <w:t>紧急集合点</w:t>
      </w:r>
      <w:bookmarkEnd w:id="83"/>
      <w:r>
        <w:rPr>
          <w:rFonts w:eastAsia="宋体" w:cs="Times New Roman"/>
          <w:sz w:val="24"/>
          <w:szCs w:val="21"/>
        </w:rPr>
        <w:t>。在厂区安全的地点设置紧急集合点。</w:t>
      </w:r>
    </w:p>
    <w:p>
      <w:pPr>
        <w:spacing w:line="360" w:lineRule="auto"/>
        <w:jc w:val="center"/>
        <w:rPr>
          <w:rFonts w:eastAsia="宋体" w:cs="Times New Roman"/>
          <w:sz w:val="24"/>
        </w:rPr>
      </w:pPr>
      <w:r>
        <w:rPr>
          <w:rFonts w:eastAsia="宋体" w:cs="Times New Roman"/>
        </w:rPr>
        <w:drawing>
          <wp:inline distT="0" distB="0" distL="0" distR="0">
            <wp:extent cx="1871980" cy="1799590"/>
            <wp:effectExtent l="0" t="0" r="0" b="0"/>
            <wp:docPr id="30864" name="图片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4" name="图片 30864"/>
                    <pic:cNvPicPr>
                      <a:picLocks noChangeAspect="1"/>
                    </pic:cNvPicPr>
                  </pic:nvPicPr>
                  <pic:blipFill>
                    <a:blip r:embed="rId212"/>
                    <a:stretch>
                      <a:fillRect/>
                    </a:stretch>
                  </pic:blipFill>
                  <pic:spPr>
                    <a:xfrm>
                      <a:off x="0" y="0"/>
                      <a:ext cx="1872000" cy="1800000"/>
                    </a:xfrm>
                    <a:prstGeom prst="rect">
                      <a:avLst/>
                    </a:prstGeom>
                  </pic:spPr>
                </pic:pic>
              </a:graphicData>
            </a:graphic>
          </wp:inline>
        </w:drawing>
      </w:r>
      <w:r>
        <w:rPr>
          <w:rFonts w:eastAsia="宋体" w:cs="Times New Roman"/>
          <w:sz w:val="24"/>
        </w:rPr>
        <w:drawing>
          <wp:inline distT="0" distB="0" distL="0" distR="0">
            <wp:extent cx="1198245" cy="1799590"/>
            <wp:effectExtent l="0" t="0" r="1905" b="0"/>
            <wp:docPr id="30865" name="图片 3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5" name="图片 3086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1198800" cy="1800000"/>
                    </a:xfrm>
                    <a:prstGeom prst="rect">
                      <a:avLst/>
                    </a:prstGeom>
                    <a:noFill/>
                  </pic:spPr>
                </pic:pic>
              </a:graphicData>
            </a:graphic>
          </wp:inline>
        </w:drawing>
      </w:r>
    </w:p>
    <w:p>
      <w:pPr>
        <w:pStyle w:val="2"/>
        <w:jc w:val="center"/>
        <w:rPr>
          <w:sz w:val="21"/>
          <w:szCs w:val="21"/>
        </w:rPr>
      </w:pPr>
      <w:r>
        <w:rPr>
          <w:rFonts w:hint="eastAsia"/>
          <w:sz w:val="21"/>
          <w:szCs w:val="21"/>
        </w:rPr>
        <w:t>例图1</w:t>
      </w:r>
      <w:r>
        <w:rPr>
          <w:sz w:val="21"/>
          <w:szCs w:val="21"/>
        </w:rPr>
        <w:t>4.4</w:t>
      </w:r>
      <w:r>
        <w:rPr>
          <w:rFonts w:hint="eastAsia"/>
          <w:sz w:val="21"/>
          <w:szCs w:val="21"/>
        </w:rPr>
        <w:t>-</w:t>
      </w:r>
      <w:r>
        <w:rPr>
          <w:sz w:val="21"/>
          <w:szCs w:val="21"/>
        </w:rPr>
        <w:t>9</w:t>
      </w:r>
      <w:r>
        <w:rPr>
          <w:rFonts w:hint="eastAsia"/>
          <w:sz w:val="21"/>
          <w:szCs w:val="21"/>
        </w:rPr>
        <w:t>紧急集合点设置示</w:t>
      </w:r>
    </w:p>
    <w:p>
      <w:pPr>
        <w:spacing w:after="120"/>
        <w:ind w:firstLine="480" w:firstLineChars="200"/>
        <w:rPr>
          <w:rFonts w:cs="Times New Roman" w:eastAsiaTheme="minorEastAsia"/>
          <w:sz w:val="24"/>
          <w:szCs w:val="21"/>
        </w:rPr>
      </w:pPr>
    </w:p>
    <w:p>
      <w:pPr>
        <w:spacing w:after="120"/>
        <w:ind w:firstLine="482" w:firstLineChars="200"/>
        <w:rPr>
          <w:rFonts w:cs="Times New Roman" w:eastAsiaTheme="minorEastAsia"/>
          <w:b/>
          <w:bCs/>
          <w:sz w:val="24"/>
          <w:szCs w:val="21"/>
        </w:rPr>
      </w:pPr>
      <w:r>
        <w:rPr>
          <w:rFonts w:cs="Times New Roman" w:eastAsiaTheme="minorEastAsia"/>
          <w:b/>
          <w:bCs/>
          <w:sz w:val="24"/>
          <w:szCs w:val="21"/>
        </w:rPr>
        <w:t>五、生产作业场所可视化设置</w:t>
      </w:r>
    </w:p>
    <w:p>
      <w:pPr>
        <w:spacing w:after="120"/>
        <w:ind w:firstLine="480" w:firstLineChars="200"/>
        <w:rPr>
          <w:rFonts w:cs="Times New Roman" w:eastAsiaTheme="minorEastAsia"/>
          <w:sz w:val="24"/>
          <w:szCs w:val="21"/>
        </w:rPr>
      </w:pPr>
      <w:r>
        <w:rPr>
          <w:rFonts w:cs="Times New Roman" w:eastAsiaTheme="minorEastAsia"/>
          <w:sz w:val="24"/>
          <w:szCs w:val="21"/>
        </w:rPr>
        <w:t>（一）作业场所“四上墙”</w:t>
      </w:r>
    </w:p>
    <w:p>
      <w:pPr>
        <w:spacing w:after="120"/>
        <w:ind w:firstLine="480" w:firstLineChars="200"/>
        <w:rPr>
          <w:rFonts w:cs="Times New Roman" w:eastAsiaTheme="minorEastAsia"/>
          <w:sz w:val="24"/>
          <w:szCs w:val="21"/>
        </w:rPr>
      </w:pPr>
      <w:r>
        <w:rPr>
          <w:rFonts w:cs="Times New Roman" w:eastAsiaTheme="minorEastAsia"/>
          <w:sz w:val="24"/>
          <w:szCs w:val="21"/>
        </w:rPr>
        <w:t>1.岗位安全操作规程上墙。员工掌握岗位安全操作规程，做到有章可循，避免违章操作。</w:t>
      </w:r>
    </w:p>
    <w:p>
      <w:pPr>
        <w:spacing w:after="120"/>
        <w:jc w:val="center"/>
        <w:rPr>
          <w:rFonts w:eastAsia="宋体" w:cs="Times New Roman"/>
        </w:rPr>
      </w:pPr>
      <w:r>
        <w:rPr>
          <w:rFonts w:eastAsia="宋体" w:cs="Times New Roman"/>
          <w:sz w:val="28"/>
          <w:szCs w:val="20"/>
        </w:rPr>
        <w:drawing>
          <wp:inline distT="0" distB="0" distL="0" distR="0">
            <wp:extent cx="2743200" cy="2986405"/>
            <wp:effectExtent l="0" t="0" r="0" b="4445"/>
            <wp:docPr id="30866" name="图片 30866"/>
            <wp:cNvGraphicFramePr/>
            <a:graphic xmlns:a="http://schemas.openxmlformats.org/drawingml/2006/main">
              <a:graphicData uri="http://schemas.openxmlformats.org/drawingml/2006/picture">
                <pic:pic xmlns:pic="http://schemas.openxmlformats.org/drawingml/2006/picture">
                  <pic:nvPicPr>
                    <pic:cNvPr id="30866" name="图片 30866"/>
                    <pic:cNvPicPr/>
                  </pic:nvPicPr>
                  <pic:blipFill>
                    <a:blip r:embed="rId214"/>
                    <a:stretch>
                      <a:fillRect/>
                    </a:stretch>
                  </pic:blipFill>
                  <pic:spPr>
                    <a:xfrm>
                      <a:off x="0" y="0"/>
                      <a:ext cx="2743200" cy="2986405"/>
                    </a:xfrm>
                    <a:prstGeom prst="rect">
                      <a:avLst/>
                    </a:prstGeom>
                  </pic:spPr>
                </pic:pic>
              </a:graphicData>
            </a:graphic>
          </wp:inline>
        </w:drawing>
      </w:r>
    </w:p>
    <w:p>
      <w:pPr>
        <w:pStyle w:val="2"/>
        <w:jc w:val="center"/>
      </w:pPr>
      <w:r>
        <w:rPr>
          <w:rFonts w:hint="eastAsia"/>
          <w:sz w:val="21"/>
          <w:szCs w:val="21"/>
        </w:rPr>
        <w:t>图1</w:t>
      </w:r>
      <w:r>
        <w:rPr>
          <w:sz w:val="21"/>
          <w:szCs w:val="21"/>
        </w:rPr>
        <w:t>4.5</w:t>
      </w:r>
      <w:r>
        <w:rPr>
          <w:rFonts w:hint="eastAsia"/>
          <w:sz w:val="21"/>
          <w:szCs w:val="21"/>
        </w:rPr>
        <w:t>-</w:t>
      </w:r>
      <w:r>
        <w:rPr>
          <w:sz w:val="21"/>
          <w:szCs w:val="21"/>
        </w:rPr>
        <w:t>1</w:t>
      </w:r>
      <w:r>
        <w:rPr>
          <w:rFonts w:hint="eastAsia"/>
          <w:sz w:val="21"/>
          <w:szCs w:val="21"/>
        </w:rPr>
        <w:t>操作规程示例</w:t>
      </w:r>
    </w:p>
    <w:p>
      <w:pPr>
        <w:spacing w:after="120"/>
        <w:ind w:firstLine="480" w:firstLineChars="200"/>
        <w:rPr>
          <w:rFonts w:cs="Times New Roman" w:eastAsiaTheme="minorEastAsia"/>
          <w:sz w:val="24"/>
          <w:szCs w:val="21"/>
        </w:rPr>
      </w:pPr>
      <w:r>
        <w:rPr>
          <w:rFonts w:cs="Times New Roman" w:eastAsiaTheme="minorEastAsia"/>
          <w:sz w:val="24"/>
          <w:szCs w:val="21"/>
        </w:rPr>
        <w:t>2.岗位风险告知卡上墙。岗位风险进行告知，作业人员掌握岗位存在的风险并采取相应的管控措施。较大风险告知卡120×80cm。</w:t>
      </w:r>
    </w:p>
    <w:p>
      <w:pPr>
        <w:spacing w:after="120"/>
        <w:jc w:val="center"/>
        <w:rPr>
          <w:rFonts w:eastAsia="宋体" w:cs="Times New Roman"/>
        </w:rPr>
      </w:pPr>
      <w:r>
        <w:rPr>
          <w:rFonts w:eastAsia="宋体" w:cs="Times New Roman"/>
          <w:sz w:val="28"/>
          <w:szCs w:val="20"/>
        </w:rPr>
        <w:drawing>
          <wp:inline distT="0" distB="0" distL="0" distR="0">
            <wp:extent cx="2015490" cy="1799590"/>
            <wp:effectExtent l="0" t="0" r="3810" b="0"/>
            <wp:docPr id="30867" name="图片 30867"/>
            <wp:cNvGraphicFramePr/>
            <a:graphic xmlns:a="http://schemas.openxmlformats.org/drawingml/2006/main">
              <a:graphicData uri="http://schemas.openxmlformats.org/drawingml/2006/picture">
                <pic:pic xmlns:pic="http://schemas.openxmlformats.org/drawingml/2006/picture">
                  <pic:nvPicPr>
                    <pic:cNvPr id="30867" name="图片 30867"/>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016000" cy="1800000"/>
                    </a:xfrm>
                    <a:prstGeom prst="rect">
                      <a:avLst/>
                    </a:prstGeom>
                  </pic:spPr>
                </pic:pic>
              </a:graphicData>
            </a:graphic>
          </wp:inline>
        </w:drawing>
      </w:r>
    </w:p>
    <w:p>
      <w:pPr>
        <w:pStyle w:val="2"/>
        <w:jc w:val="center"/>
      </w:pPr>
      <w:r>
        <w:rPr>
          <w:rFonts w:hint="eastAsia"/>
          <w:sz w:val="21"/>
          <w:szCs w:val="21"/>
        </w:rPr>
        <w:t>图1</w:t>
      </w:r>
      <w:r>
        <w:rPr>
          <w:sz w:val="21"/>
          <w:szCs w:val="21"/>
        </w:rPr>
        <w:t>4.5</w:t>
      </w:r>
      <w:r>
        <w:rPr>
          <w:rFonts w:hint="eastAsia"/>
          <w:sz w:val="21"/>
          <w:szCs w:val="21"/>
        </w:rPr>
        <w:t>-</w:t>
      </w:r>
      <w:r>
        <w:rPr>
          <w:sz w:val="21"/>
          <w:szCs w:val="21"/>
        </w:rPr>
        <w:t>2</w:t>
      </w:r>
      <w:r>
        <w:rPr>
          <w:rFonts w:hint="eastAsia"/>
          <w:sz w:val="21"/>
          <w:szCs w:val="21"/>
        </w:rPr>
        <w:t>岗位风险告知卡示例</w:t>
      </w:r>
    </w:p>
    <w:p>
      <w:pPr>
        <w:spacing w:after="120"/>
        <w:ind w:firstLine="480" w:firstLineChars="200"/>
        <w:rPr>
          <w:rFonts w:cs="Times New Roman" w:eastAsiaTheme="minorEastAsia"/>
          <w:sz w:val="24"/>
          <w:szCs w:val="21"/>
        </w:rPr>
      </w:pPr>
      <w:r>
        <w:rPr>
          <w:rFonts w:cs="Times New Roman" w:eastAsiaTheme="minorEastAsia"/>
          <w:sz w:val="24"/>
          <w:szCs w:val="21"/>
        </w:rPr>
        <w:t>3.</w:t>
      </w:r>
      <w:bookmarkStart w:id="84" w:name="_Hlk93489620"/>
      <w:r>
        <w:rPr>
          <w:rFonts w:cs="Times New Roman" w:eastAsiaTheme="minorEastAsia"/>
          <w:sz w:val="24"/>
          <w:szCs w:val="21"/>
        </w:rPr>
        <w:t>职业危害告知卡</w:t>
      </w:r>
      <w:bookmarkEnd w:id="84"/>
      <w:r>
        <w:rPr>
          <w:rFonts w:cs="Times New Roman" w:eastAsiaTheme="minorEastAsia"/>
          <w:sz w:val="24"/>
          <w:szCs w:val="21"/>
        </w:rPr>
        <w:t>上墙。对现场存在的职业病危害进行告知，并采取相应的职业病防范措施。建议尺寸90×60cm。</w:t>
      </w:r>
    </w:p>
    <w:p>
      <w:pPr>
        <w:spacing w:after="120"/>
        <w:jc w:val="center"/>
        <w:rPr>
          <w:rFonts w:eastAsia="宋体" w:cs="Times New Roman"/>
        </w:rPr>
      </w:pPr>
      <w:r>
        <w:rPr>
          <w:rFonts w:eastAsia="宋体" w:cs="Times New Roman"/>
          <w:sz w:val="28"/>
          <w:szCs w:val="20"/>
        </w:rPr>
        <w:drawing>
          <wp:inline distT="0" distB="0" distL="0" distR="0">
            <wp:extent cx="2015490" cy="1799590"/>
            <wp:effectExtent l="0" t="0" r="3810" b="0"/>
            <wp:docPr id="30868" name="图片 30868"/>
            <wp:cNvGraphicFramePr/>
            <a:graphic xmlns:a="http://schemas.openxmlformats.org/drawingml/2006/main">
              <a:graphicData uri="http://schemas.openxmlformats.org/drawingml/2006/picture">
                <pic:pic xmlns:pic="http://schemas.openxmlformats.org/drawingml/2006/picture">
                  <pic:nvPicPr>
                    <pic:cNvPr id="30868" name="图片 30868"/>
                    <pic:cNvPicPr/>
                  </pic:nvPicPr>
                  <pic:blipFill>
                    <a:blip r:embed="rId216"/>
                    <a:stretch>
                      <a:fillRect/>
                    </a:stretch>
                  </pic:blipFill>
                  <pic:spPr>
                    <a:xfrm>
                      <a:off x="0" y="0"/>
                      <a:ext cx="2016000" cy="1800000"/>
                    </a:xfrm>
                    <a:prstGeom prst="rect">
                      <a:avLst/>
                    </a:prstGeom>
                  </pic:spPr>
                </pic:pic>
              </a:graphicData>
            </a:graphic>
          </wp:inline>
        </w:drawing>
      </w:r>
    </w:p>
    <w:p>
      <w:pPr>
        <w:pStyle w:val="2"/>
        <w:jc w:val="center"/>
      </w:pPr>
      <w:r>
        <w:rPr>
          <w:rFonts w:hint="eastAsia"/>
          <w:sz w:val="21"/>
          <w:szCs w:val="21"/>
        </w:rPr>
        <w:t>图1</w:t>
      </w:r>
      <w:r>
        <w:rPr>
          <w:sz w:val="21"/>
          <w:szCs w:val="21"/>
        </w:rPr>
        <w:t>4.5</w:t>
      </w:r>
      <w:r>
        <w:rPr>
          <w:rFonts w:hint="eastAsia"/>
          <w:sz w:val="21"/>
          <w:szCs w:val="21"/>
        </w:rPr>
        <w:t>-</w:t>
      </w:r>
      <w:r>
        <w:rPr>
          <w:sz w:val="21"/>
          <w:szCs w:val="21"/>
        </w:rPr>
        <w:t>3</w:t>
      </w:r>
      <w:r>
        <w:rPr>
          <w:rFonts w:hint="eastAsia"/>
          <w:sz w:val="21"/>
          <w:szCs w:val="21"/>
        </w:rPr>
        <w:t>职业危害告知卡示例</w:t>
      </w:r>
    </w:p>
    <w:p>
      <w:pPr>
        <w:spacing w:line="360" w:lineRule="auto"/>
        <w:ind w:firstLine="480" w:firstLineChars="200"/>
        <w:rPr>
          <w:rFonts w:eastAsia="宋体" w:cs="Times New Roman"/>
          <w:sz w:val="24"/>
          <w:szCs w:val="21"/>
        </w:rPr>
      </w:pPr>
    </w:p>
    <w:p>
      <w:pPr>
        <w:spacing w:after="120"/>
        <w:ind w:firstLine="480" w:firstLineChars="200"/>
        <w:rPr>
          <w:rFonts w:cs="Times New Roman" w:eastAsiaTheme="minorEastAsia"/>
          <w:sz w:val="24"/>
          <w:szCs w:val="21"/>
        </w:rPr>
      </w:pPr>
      <w:r>
        <w:rPr>
          <w:rFonts w:cs="Times New Roman" w:eastAsiaTheme="minorEastAsia"/>
          <w:sz w:val="24"/>
          <w:szCs w:val="21"/>
        </w:rPr>
        <w:t>4.岗位应急处置卡上墙。让员工熟悉本岗位事故应急处置流程，第一时间应急响应，建议尺寸12×10cm。</w:t>
      </w:r>
    </w:p>
    <w:p>
      <w:pPr>
        <w:spacing w:after="120"/>
        <w:jc w:val="center"/>
        <w:rPr>
          <w:rFonts w:eastAsia="宋体" w:cs="Times New Roman"/>
        </w:rPr>
      </w:pPr>
      <w:r>
        <w:drawing>
          <wp:inline distT="0" distB="0" distL="0" distR="0">
            <wp:extent cx="1630045" cy="2011045"/>
            <wp:effectExtent l="0" t="0" r="8255" b="8255"/>
            <wp:docPr id="7207" name="图片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 name="图片 7207"/>
                    <pic:cNvPicPr>
                      <a:picLocks noChangeAspect="1"/>
                    </pic:cNvPicPr>
                  </pic:nvPicPr>
                  <pic:blipFill>
                    <a:blip r:embed="rId217"/>
                    <a:stretch>
                      <a:fillRect/>
                    </a:stretch>
                  </pic:blipFill>
                  <pic:spPr>
                    <a:xfrm>
                      <a:off x="0" y="0"/>
                      <a:ext cx="1669701" cy="2060128"/>
                    </a:xfrm>
                    <a:prstGeom prst="rect">
                      <a:avLst/>
                    </a:prstGeom>
                  </pic:spPr>
                </pic:pic>
              </a:graphicData>
            </a:graphic>
          </wp:inline>
        </w:drawing>
      </w:r>
      <w:r>
        <w:rPr>
          <w:rFonts w:hint="eastAsia" w:eastAsia="宋体" w:cs="Times New Roman"/>
        </w:rPr>
        <w:t xml:space="preserve"> </w:t>
      </w:r>
      <w:r>
        <w:drawing>
          <wp:inline distT="0" distB="0" distL="0" distR="0">
            <wp:extent cx="1798320" cy="2067560"/>
            <wp:effectExtent l="0" t="0" r="0" b="8890"/>
            <wp:docPr id="7209" name="图片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 name="图片 7209"/>
                    <pic:cNvPicPr>
                      <a:picLocks noChangeAspect="1"/>
                    </pic:cNvPicPr>
                  </pic:nvPicPr>
                  <pic:blipFill>
                    <a:blip r:embed="rId218"/>
                    <a:stretch>
                      <a:fillRect/>
                    </a:stretch>
                  </pic:blipFill>
                  <pic:spPr>
                    <a:xfrm>
                      <a:off x="0" y="0"/>
                      <a:ext cx="1839098" cy="2114527"/>
                    </a:xfrm>
                    <a:prstGeom prst="rect">
                      <a:avLst/>
                    </a:prstGeom>
                  </pic:spPr>
                </pic:pic>
              </a:graphicData>
            </a:graphic>
          </wp:inline>
        </w:drawing>
      </w:r>
    </w:p>
    <w:p>
      <w:pPr>
        <w:pStyle w:val="2"/>
        <w:jc w:val="center"/>
      </w:pPr>
      <w:r>
        <w:rPr>
          <w:rFonts w:hint="eastAsia"/>
          <w:sz w:val="21"/>
          <w:szCs w:val="21"/>
        </w:rPr>
        <w:t>图1</w:t>
      </w:r>
      <w:r>
        <w:rPr>
          <w:sz w:val="21"/>
          <w:szCs w:val="21"/>
        </w:rPr>
        <w:t>4.5</w:t>
      </w:r>
      <w:r>
        <w:rPr>
          <w:rFonts w:hint="eastAsia"/>
          <w:sz w:val="21"/>
          <w:szCs w:val="21"/>
        </w:rPr>
        <w:t>-</w:t>
      </w:r>
      <w:r>
        <w:rPr>
          <w:sz w:val="21"/>
          <w:szCs w:val="21"/>
        </w:rPr>
        <w:t>4</w:t>
      </w:r>
      <w:r>
        <w:rPr>
          <w:rFonts w:hint="eastAsia"/>
          <w:sz w:val="21"/>
          <w:szCs w:val="21"/>
        </w:rPr>
        <w:t>岗位应急处置卡示例</w:t>
      </w:r>
    </w:p>
    <w:p>
      <w:pPr>
        <w:spacing w:after="120"/>
        <w:ind w:firstLine="480" w:firstLineChars="200"/>
        <w:rPr>
          <w:rFonts w:cs="Times New Roman" w:eastAsiaTheme="minorEastAsia"/>
          <w:sz w:val="24"/>
          <w:szCs w:val="21"/>
        </w:rPr>
      </w:pPr>
      <w:r>
        <w:rPr>
          <w:rFonts w:cs="Times New Roman" w:eastAsiaTheme="minorEastAsia"/>
          <w:sz w:val="24"/>
          <w:szCs w:val="21"/>
        </w:rPr>
        <w:t>（二）进车间入口“四张图”</w:t>
      </w:r>
    </w:p>
    <w:p>
      <w:pPr>
        <w:spacing w:after="120"/>
        <w:ind w:firstLine="480" w:firstLineChars="200"/>
        <w:rPr>
          <w:rFonts w:cs="Times New Roman" w:eastAsiaTheme="minorEastAsia"/>
          <w:sz w:val="24"/>
          <w:szCs w:val="21"/>
        </w:rPr>
      </w:pPr>
      <w:r>
        <w:rPr>
          <w:rFonts w:cs="Times New Roman" w:eastAsiaTheme="minorEastAsia"/>
          <w:sz w:val="24"/>
          <w:szCs w:val="21"/>
        </w:rPr>
        <w:t>1.如</w:t>
      </w:r>
      <w:bookmarkStart w:id="85" w:name="_Hlk93489731"/>
      <w:r>
        <w:rPr>
          <w:rFonts w:cs="Times New Roman" w:eastAsiaTheme="minorEastAsia"/>
          <w:sz w:val="24"/>
          <w:szCs w:val="21"/>
        </w:rPr>
        <w:t>车间安全须知</w:t>
      </w:r>
      <w:bookmarkEnd w:id="85"/>
      <w:r>
        <w:rPr>
          <w:rFonts w:cs="Times New Roman" w:eastAsiaTheme="minorEastAsia"/>
          <w:sz w:val="24"/>
          <w:szCs w:val="21"/>
        </w:rPr>
        <w:t>。进车间人员能迅速的了解进车间安全准则和安全疏散方向。</w:t>
      </w:r>
    </w:p>
    <w:p>
      <w:pPr>
        <w:spacing w:after="120"/>
        <w:jc w:val="center"/>
        <w:rPr>
          <w:rFonts w:eastAsia="宋体" w:cs="Times New Roman"/>
        </w:rPr>
      </w:pPr>
      <w:r>
        <w:rPr>
          <w:rFonts w:eastAsia="宋体" w:cs="Times New Roman"/>
          <w:sz w:val="28"/>
          <w:szCs w:val="20"/>
        </w:rPr>
        <w:drawing>
          <wp:inline distT="0" distB="0" distL="0" distR="0">
            <wp:extent cx="2554605" cy="3185795"/>
            <wp:effectExtent l="0" t="0" r="17145" b="14605"/>
            <wp:docPr id="30870" name="图片 30870"/>
            <wp:cNvGraphicFramePr/>
            <a:graphic xmlns:a="http://schemas.openxmlformats.org/drawingml/2006/main">
              <a:graphicData uri="http://schemas.openxmlformats.org/drawingml/2006/picture">
                <pic:pic xmlns:pic="http://schemas.openxmlformats.org/drawingml/2006/picture">
                  <pic:nvPicPr>
                    <pic:cNvPr id="30870" name="图片 30870"/>
                    <pic:cNvPicPr/>
                  </pic:nvPicPr>
                  <pic:blipFill>
                    <a:blip r:embed="rId219"/>
                    <a:stretch>
                      <a:fillRect/>
                    </a:stretch>
                  </pic:blipFill>
                  <pic:spPr>
                    <a:xfrm>
                      <a:off x="0" y="0"/>
                      <a:ext cx="2554605" cy="3185795"/>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5</w:t>
      </w:r>
      <w:r>
        <w:rPr>
          <w:rFonts w:hint="eastAsia" w:eastAsia="宋体" w:cs="Times New Roman"/>
          <w:sz w:val="21"/>
          <w:szCs w:val="21"/>
        </w:rPr>
        <w:t>车间安全须知示例</w:t>
      </w:r>
    </w:p>
    <w:p>
      <w:pPr>
        <w:spacing w:after="120"/>
        <w:ind w:firstLine="480" w:firstLineChars="200"/>
        <w:rPr>
          <w:rFonts w:cs="Times New Roman" w:eastAsiaTheme="minorEastAsia"/>
          <w:sz w:val="24"/>
          <w:szCs w:val="21"/>
        </w:rPr>
      </w:pPr>
      <w:r>
        <w:rPr>
          <w:rFonts w:cs="Times New Roman" w:eastAsiaTheme="minorEastAsia"/>
          <w:sz w:val="24"/>
          <w:szCs w:val="21"/>
        </w:rPr>
        <w:t>2.进车间防护用品佩戴标准。能迅速了解进车间需佩戴的防护用品。</w:t>
      </w:r>
    </w:p>
    <w:p>
      <w:pPr>
        <w:spacing w:after="120"/>
        <w:jc w:val="center"/>
        <w:rPr>
          <w:rFonts w:eastAsia="宋体" w:cs="Times New Roman"/>
        </w:rPr>
      </w:pPr>
    </w:p>
    <w:p>
      <w:pPr>
        <w:pStyle w:val="2"/>
      </w:pPr>
    </w:p>
    <w:p>
      <w:pPr>
        <w:pStyle w:val="2"/>
      </w:pPr>
    </w:p>
    <w:p>
      <w:pPr>
        <w:pStyle w:val="2"/>
      </w:pPr>
    </w:p>
    <w:p>
      <w:pPr>
        <w:pStyle w:val="2"/>
      </w:pPr>
      <w:r>
        <w:drawing>
          <wp:anchor distT="0" distB="0" distL="0" distR="0" simplePos="0" relativeHeight="251697152" behindDoc="0" locked="0" layoutInCell="1" allowOverlap="1">
            <wp:simplePos x="0" y="0"/>
            <wp:positionH relativeFrom="column">
              <wp:posOffset>1210945</wp:posOffset>
            </wp:positionH>
            <wp:positionV relativeFrom="paragraph">
              <wp:posOffset>45720</wp:posOffset>
            </wp:positionV>
            <wp:extent cx="1619885" cy="2519680"/>
            <wp:effectExtent l="0" t="0" r="18415" b="13970"/>
            <wp:wrapNone/>
            <wp:docPr id="30871" name="图片 30871"/>
            <wp:cNvGraphicFramePr/>
            <a:graphic xmlns:a="http://schemas.openxmlformats.org/drawingml/2006/main">
              <a:graphicData uri="http://schemas.openxmlformats.org/drawingml/2006/picture">
                <pic:pic xmlns:pic="http://schemas.openxmlformats.org/drawingml/2006/picture">
                  <pic:nvPicPr>
                    <pic:cNvPr id="30871" name="图片 30871"/>
                    <pic:cNvPicPr/>
                  </pic:nvPicPr>
                  <pic:blipFill>
                    <a:blip r:embed="rId220"/>
                    <a:stretch>
                      <a:fillRect/>
                    </a:stretch>
                  </pic:blipFill>
                  <pic:spPr>
                    <a:xfrm>
                      <a:off x="0" y="0"/>
                      <a:ext cx="1620000" cy="2520000"/>
                    </a:xfrm>
                    <a:prstGeom prst="rect">
                      <a:avLst/>
                    </a:prstGeom>
                  </pic:spPr>
                </pic:pic>
              </a:graphicData>
            </a:graphic>
          </wp:anchor>
        </w:drawing>
      </w:r>
    </w:p>
    <w:p>
      <w:pPr>
        <w:pStyle w:val="2"/>
      </w:pPr>
    </w:p>
    <w:p>
      <w:pPr>
        <w:pStyle w:val="2"/>
      </w:pPr>
    </w:p>
    <w:p>
      <w:pPr>
        <w:pStyle w:val="2"/>
      </w:pPr>
    </w:p>
    <w:p>
      <w:pPr>
        <w:spacing w:line="360" w:lineRule="auto"/>
        <w:jc w:val="center"/>
        <w:rPr>
          <w:rFonts w:eastAsia="宋体" w:cs="Times New Roman"/>
          <w:sz w:val="21"/>
          <w:szCs w:val="21"/>
        </w:rPr>
      </w:pPr>
    </w:p>
    <w:p>
      <w:pPr>
        <w:spacing w:line="360" w:lineRule="auto"/>
        <w:jc w:val="center"/>
        <w:rPr>
          <w:rFonts w:eastAsia="宋体" w:cs="Times New Roman"/>
          <w:sz w:val="21"/>
          <w:szCs w:val="21"/>
        </w:rPr>
      </w:pPr>
    </w:p>
    <w:p>
      <w:pPr>
        <w:spacing w:line="360" w:lineRule="auto"/>
        <w:jc w:val="center"/>
        <w:rPr>
          <w:rFonts w:eastAsia="宋体" w:cs="Times New Roman"/>
          <w:sz w:val="21"/>
          <w:szCs w:val="21"/>
        </w:rPr>
      </w:pP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6</w:t>
      </w:r>
      <w:r>
        <w:rPr>
          <w:rFonts w:hint="eastAsia" w:eastAsia="宋体" w:cs="Times New Roman"/>
          <w:sz w:val="21"/>
          <w:szCs w:val="21"/>
        </w:rPr>
        <w:t>进车间防护用品佩戴标准示例</w:t>
      </w:r>
    </w:p>
    <w:p>
      <w:pPr>
        <w:spacing w:after="120"/>
        <w:ind w:firstLine="480" w:firstLineChars="200"/>
        <w:rPr>
          <w:rFonts w:cs="Times New Roman" w:eastAsiaTheme="minorEastAsia"/>
          <w:sz w:val="24"/>
          <w:szCs w:val="21"/>
        </w:rPr>
      </w:pPr>
      <w:r>
        <w:rPr>
          <w:rFonts w:cs="Times New Roman" w:eastAsiaTheme="minorEastAsia"/>
          <w:sz w:val="24"/>
          <w:szCs w:val="21"/>
        </w:rPr>
        <w:t>3.</w:t>
      </w:r>
      <w:bookmarkStart w:id="86" w:name="_Hlk93489773"/>
      <w:r>
        <w:rPr>
          <w:rFonts w:cs="Times New Roman" w:eastAsiaTheme="minorEastAsia"/>
          <w:sz w:val="24"/>
          <w:szCs w:val="21"/>
        </w:rPr>
        <w:t>车间安全风险四色图</w:t>
      </w:r>
      <w:bookmarkEnd w:id="86"/>
      <w:r>
        <w:rPr>
          <w:rFonts w:cs="Times New Roman" w:eastAsiaTheme="minorEastAsia"/>
          <w:sz w:val="24"/>
          <w:szCs w:val="21"/>
        </w:rPr>
        <w:t>。进入车间能及时了解车间存在的风险部位及风险等级。</w:t>
      </w:r>
    </w:p>
    <w:p>
      <w:pPr>
        <w:spacing w:after="120"/>
        <w:jc w:val="center"/>
        <w:rPr>
          <w:rFonts w:eastAsia="宋体" w:cs="Times New Roman"/>
        </w:rPr>
      </w:pPr>
      <w:r>
        <w:rPr>
          <w:rFonts w:eastAsia="宋体" w:cs="Times New Roman"/>
          <w:sz w:val="28"/>
          <w:szCs w:val="20"/>
        </w:rPr>
        <w:drawing>
          <wp:inline distT="0" distB="0" distL="0" distR="0">
            <wp:extent cx="2292350" cy="1568450"/>
            <wp:effectExtent l="0" t="0" r="12700" b="12700"/>
            <wp:docPr id="30872" name="图片 30872"/>
            <wp:cNvGraphicFramePr/>
            <a:graphic xmlns:a="http://schemas.openxmlformats.org/drawingml/2006/main">
              <a:graphicData uri="http://schemas.openxmlformats.org/drawingml/2006/picture">
                <pic:pic xmlns:pic="http://schemas.openxmlformats.org/drawingml/2006/picture">
                  <pic:nvPicPr>
                    <pic:cNvPr id="30872" name="图片 30872"/>
                    <pic:cNvPicPr/>
                  </pic:nvPicPr>
                  <pic:blipFill>
                    <a:blip r:embed="rId221"/>
                    <a:stretch>
                      <a:fillRect/>
                    </a:stretch>
                  </pic:blipFill>
                  <pic:spPr>
                    <a:xfrm>
                      <a:off x="0" y="0"/>
                      <a:ext cx="2292350" cy="156845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7</w:t>
      </w:r>
      <w:r>
        <w:rPr>
          <w:rFonts w:hint="eastAsia" w:eastAsia="宋体" w:cs="Times New Roman"/>
          <w:sz w:val="21"/>
          <w:szCs w:val="21"/>
        </w:rPr>
        <w:t>车间安全风险四色图示例</w:t>
      </w:r>
    </w:p>
    <w:p>
      <w:pPr>
        <w:spacing w:after="120"/>
        <w:ind w:firstLine="480" w:firstLineChars="200"/>
        <w:rPr>
          <w:rFonts w:cs="Times New Roman" w:eastAsiaTheme="minorEastAsia"/>
          <w:sz w:val="24"/>
          <w:szCs w:val="21"/>
        </w:rPr>
      </w:pPr>
      <w:r>
        <w:rPr>
          <w:rFonts w:cs="Times New Roman" w:eastAsiaTheme="minorEastAsia"/>
          <w:sz w:val="24"/>
          <w:szCs w:val="21"/>
        </w:rPr>
        <w:t>4.车间较大风险公示。及时了解车间存在较大风险、所处位置、事故类型和管控责任人等。</w:t>
      </w:r>
    </w:p>
    <w:p>
      <w:pPr>
        <w:spacing w:after="120"/>
        <w:jc w:val="center"/>
        <w:rPr>
          <w:rFonts w:eastAsia="宋体" w:cs="Times New Roman"/>
        </w:rPr>
      </w:pPr>
      <w:r>
        <w:rPr>
          <w:rFonts w:eastAsia="宋体" w:cs="Times New Roman"/>
          <w:sz w:val="28"/>
          <w:szCs w:val="20"/>
        </w:rPr>
        <w:drawing>
          <wp:inline distT="0" distB="0" distL="0" distR="0">
            <wp:extent cx="2846070" cy="1811655"/>
            <wp:effectExtent l="0" t="0" r="11430" b="17145"/>
            <wp:docPr id="30873" name="图片 30873"/>
            <wp:cNvGraphicFramePr/>
            <a:graphic xmlns:a="http://schemas.openxmlformats.org/drawingml/2006/main">
              <a:graphicData uri="http://schemas.openxmlformats.org/drawingml/2006/picture">
                <pic:pic xmlns:pic="http://schemas.openxmlformats.org/drawingml/2006/picture">
                  <pic:nvPicPr>
                    <pic:cNvPr id="30873" name="图片 30873"/>
                    <pic:cNvPicPr/>
                  </pic:nvPicPr>
                  <pic:blipFill>
                    <a:blip r:embed="rId222"/>
                    <a:stretch>
                      <a:fillRect/>
                    </a:stretch>
                  </pic:blipFill>
                  <pic:spPr>
                    <a:xfrm>
                      <a:off x="0" y="0"/>
                      <a:ext cx="2846070" cy="1811655"/>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8</w:t>
      </w:r>
      <w:r>
        <w:rPr>
          <w:rFonts w:hint="eastAsia" w:eastAsia="宋体" w:cs="Times New Roman"/>
          <w:sz w:val="21"/>
          <w:szCs w:val="21"/>
        </w:rPr>
        <w:t>车间较大风险公示示例</w:t>
      </w:r>
    </w:p>
    <w:p>
      <w:pPr>
        <w:spacing w:after="120"/>
        <w:ind w:firstLine="480" w:firstLineChars="200"/>
        <w:rPr>
          <w:rFonts w:cs="Times New Roman" w:eastAsiaTheme="minorEastAsia"/>
          <w:sz w:val="24"/>
          <w:szCs w:val="21"/>
        </w:rPr>
      </w:pPr>
      <w:r>
        <w:rPr>
          <w:rFonts w:cs="Times New Roman" w:eastAsiaTheme="minorEastAsia"/>
          <w:sz w:val="24"/>
          <w:szCs w:val="21"/>
        </w:rPr>
        <w:t>（三）车间应急“三明确”</w:t>
      </w:r>
    </w:p>
    <w:p>
      <w:pPr>
        <w:spacing w:after="120"/>
        <w:ind w:firstLine="480" w:firstLineChars="200"/>
        <w:rPr>
          <w:rFonts w:cs="Times New Roman" w:eastAsiaTheme="minorEastAsia"/>
          <w:sz w:val="24"/>
          <w:szCs w:val="21"/>
        </w:rPr>
      </w:pPr>
      <w:r>
        <w:rPr>
          <w:rFonts w:cs="Times New Roman" w:eastAsiaTheme="minorEastAsia"/>
          <w:sz w:val="24"/>
          <w:szCs w:val="21"/>
        </w:rPr>
        <w:t>1. 明确车间人行通道、车行通道。划分人行通道、机动车道，确保车间人员通行安全。大区域：大型生产车间及大型仓库的主通道线使用100mm的线宽。小区域：中小型仓库和小型房间的主通道线使用50mm的线宽。通道≥0.8m</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682240" cy="1717040"/>
            <wp:effectExtent l="0" t="0" r="3810" b="16510"/>
            <wp:docPr id="30874" name="图片 30874"/>
            <wp:cNvGraphicFramePr/>
            <a:graphic xmlns:a="http://schemas.openxmlformats.org/drawingml/2006/main">
              <a:graphicData uri="http://schemas.openxmlformats.org/drawingml/2006/picture">
                <pic:pic xmlns:pic="http://schemas.openxmlformats.org/drawingml/2006/picture">
                  <pic:nvPicPr>
                    <pic:cNvPr id="30874" name="图片 30874"/>
                    <pic:cNvPicPr/>
                  </pic:nvPicPr>
                  <pic:blipFill>
                    <a:blip r:embed="rId223"/>
                    <a:stretch>
                      <a:fillRect/>
                    </a:stretch>
                  </pic:blipFill>
                  <pic:spPr>
                    <a:xfrm>
                      <a:off x="0" y="0"/>
                      <a:ext cx="2682240" cy="171704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9</w:t>
      </w:r>
      <w:r>
        <w:rPr>
          <w:rFonts w:hint="eastAsia" w:eastAsia="宋体" w:cs="Times New Roman"/>
          <w:sz w:val="21"/>
          <w:szCs w:val="21"/>
        </w:rPr>
        <w:t>车间通道示例</w:t>
      </w:r>
    </w:p>
    <w:p>
      <w:pPr>
        <w:spacing w:after="120"/>
        <w:ind w:firstLine="480" w:firstLineChars="200"/>
        <w:rPr>
          <w:rFonts w:cs="Times New Roman" w:eastAsiaTheme="minorEastAsia"/>
          <w:sz w:val="24"/>
          <w:szCs w:val="21"/>
        </w:rPr>
      </w:pPr>
      <w:r>
        <w:rPr>
          <w:rFonts w:cs="Times New Roman" w:eastAsiaTheme="minorEastAsia"/>
          <w:sz w:val="24"/>
          <w:szCs w:val="21"/>
        </w:rPr>
        <w:t>2.明确</w:t>
      </w:r>
      <w:bookmarkStart w:id="87" w:name="_Hlk93489829"/>
      <w:r>
        <w:rPr>
          <w:rFonts w:cs="Times New Roman" w:eastAsiaTheme="minorEastAsia"/>
          <w:sz w:val="24"/>
          <w:szCs w:val="21"/>
        </w:rPr>
        <w:t>消防设置</w:t>
      </w:r>
      <w:bookmarkEnd w:id="87"/>
      <w:r>
        <w:rPr>
          <w:rFonts w:cs="Times New Roman" w:eastAsiaTheme="minorEastAsia"/>
          <w:sz w:val="24"/>
          <w:szCs w:val="21"/>
        </w:rPr>
        <w:t>。消防设施周边1米禁止有障碍物。消防设施（红色标志，1米内设警戒，正上方设消防器材、使用方法等明显字样）。</w:t>
      </w:r>
    </w:p>
    <w:p>
      <w:pPr>
        <w:spacing w:after="120"/>
        <w:jc w:val="center"/>
        <w:rPr>
          <w:rFonts w:eastAsia="宋体" w:cs="Times New Roman"/>
        </w:rPr>
      </w:pPr>
      <w:r>
        <w:rPr>
          <w:rFonts w:eastAsia="宋体" w:cs="Times New Roman"/>
          <w:sz w:val="28"/>
          <w:szCs w:val="20"/>
        </w:rPr>
        <w:drawing>
          <wp:inline distT="0" distB="0" distL="0" distR="0">
            <wp:extent cx="2482215" cy="1772920"/>
            <wp:effectExtent l="0" t="0" r="13335" b="17780"/>
            <wp:docPr id="308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5" name="图片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a:xfrm>
                      <a:off x="0" y="0"/>
                      <a:ext cx="2482215" cy="1772920"/>
                    </a:xfrm>
                    <a:prstGeom prst="rect">
                      <a:avLst/>
                    </a:prstGeom>
                    <a:noFill/>
                    <a:ln>
                      <a:noFill/>
                    </a:ln>
                  </pic:spPr>
                </pic:pic>
              </a:graphicData>
            </a:graphic>
          </wp:inline>
        </w:drawing>
      </w:r>
    </w:p>
    <w:p>
      <w:pPr>
        <w:spacing w:line="360" w:lineRule="auto"/>
        <w:jc w:val="center"/>
      </w:pPr>
      <w:r>
        <w:rPr>
          <w:rFonts w:hint="eastAsia" w:eastAsia="宋体" w:cs="Times New Roman"/>
          <w:sz w:val="21"/>
          <w:szCs w:val="21"/>
        </w:rPr>
        <w:t>图14.5-</w:t>
      </w:r>
      <w:r>
        <w:rPr>
          <w:rFonts w:eastAsia="宋体" w:cs="Times New Roman"/>
          <w:sz w:val="21"/>
          <w:szCs w:val="21"/>
        </w:rPr>
        <w:t>10</w:t>
      </w:r>
      <w:r>
        <w:rPr>
          <w:rFonts w:hint="eastAsia" w:eastAsia="宋体" w:cs="Times New Roman"/>
          <w:sz w:val="21"/>
          <w:szCs w:val="21"/>
        </w:rPr>
        <w:t>车间消防设置示例</w:t>
      </w:r>
    </w:p>
    <w:p>
      <w:pPr>
        <w:spacing w:after="120"/>
        <w:ind w:firstLine="480" w:firstLineChars="200"/>
        <w:rPr>
          <w:rFonts w:cs="Times New Roman" w:eastAsiaTheme="minorEastAsia"/>
          <w:sz w:val="24"/>
          <w:szCs w:val="21"/>
        </w:rPr>
      </w:pPr>
      <w:r>
        <w:rPr>
          <w:rFonts w:cs="Times New Roman" w:eastAsiaTheme="minorEastAsia"/>
          <w:sz w:val="24"/>
          <w:szCs w:val="21"/>
        </w:rPr>
        <w:t>3.明确危化品品种和存量（化学品周知卡、危化品SDS、危险化学品风险告知牌、出入库使用记录、），危化品使用和储存场所规范化管理。</w:t>
      </w:r>
    </w:p>
    <w:p>
      <w:pPr>
        <w:spacing w:after="120"/>
        <w:jc w:val="center"/>
        <w:rPr>
          <w:rFonts w:eastAsia="宋体" w:cs="Times New Roman"/>
          <w:sz w:val="28"/>
          <w:szCs w:val="20"/>
        </w:rPr>
      </w:pPr>
      <w:r>
        <w:rPr>
          <w:rFonts w:eastAsia="宋体" w:cs="Times New Roman"/>
          <w:sz w:val="28"/>
          <w:szCs w:val="20"/>
        </w:rPr>
        <w:drawing>
          <wp:inline distT="0" distB="0" distL="0" distR="0">
            <wp:extent cx="2015490" cy="1439545"/>
            <wp:effectExtent l="0" t="0" r="3810" b="8255"/>
            <wp:docPr id="30876" name="图片 30876"/>
            <wp:cNvGraphicFramePr/>
            <a:graphic xmlns:a="http://schemas.openxmlformats.org/drawingml/2006/main">
              <a:graphicData uri="http://schemas.openxmlformats.org/drawingml/2006/picture">
                <pic:pic xmlns:pic="http://schemas.openxmlformats.org/drawingml/2006/picture">
                  <pic:nvPicPr>
                    <pic:cNvPr id="30876" name="图片 30876"/>
                    <pic:cNvPicPr/>
                  </pic:nvPicPr>
                  <pic:blipFill>
                    <a:blip r:embed="rId225"/>
                    <a:stretch>
                      <a:fillRect/>
                    </a:stretch>
                  </pic:blipFill>
                  <pic:spPr>
                    <a:xfrm>
                      <a:off x="0" y="0"/>
                      <a:ext cx="2016000" cy="144000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11</w:t>
      </w:r>
      <w:r>
        <w:rPr>
          <w:rFonts w:hint="eastAsia" w:eastAsia="宋体" w:cs="Times New Roman"/>
          <w:sz w:val="21"/>
          <w:szCs w:val="21"/>
        </w:rPr>
        <w:t>危化品仓库安全标识设置示例</w:t>
      </w:r>
    </w:p>
    <w:p>
      <w:pPr>
        <w:spacing w:after="120"/>
        <w:ind w:firstLine="480" w:firstLineChars="200"/>
        <w:rPr>
          <w:rFonts w:cs="Times New Roman" w:eastAsiaTheme="minorEastAsia"/>
          <w:sz w:val="24"/>
          <w:szCs w:val="21"/>
        </w:rPr>
      </w:pPr>
      <w:r>
        <w:rPr>
          <w:rFonts w:cs="Times New Roman" w:eastAsiaTheme="minorEastAsia"/>
          <w:sz w:val="24"/>
          <w:szCs w:val="21"/>
        </w:rPr>
        <w:t>4.明确急救设备设施设置位置和标识。化学品发生泄漏或人员受到伤害，易于第一时间展开急救工作。</w:t>
      </w:r>
    </w:p>
    <w:p>
      <w:pPr>
        <w:spacing w:after="120"/>
        <w:jc w:val="center"/>
        <w:rPr>
          <w:rFonts w:eastAsia="宋体" w:cs="Times New Roman"/>
        </w:rPr>
      </w:pPr>
      <w:r>
        <w:rPr>
          <w:rFonts w:eastAsia="宋体" w:cs="Times New Roman"/>
        </w:rPr>
        <w:drawing>
          <wp:inline distT="0" distB="0" distL="0" distR="0">
            <wp:extent cx="1234440" cy="1439545"/>
            <wp:effectExtent l="0" t="0" r="3810" b="8255"/>
            <wp:docPr id="30877" name="图片 3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7" name="图片 30877"/>
                    <pic:cNvPicPr>
                      <a:picLocks noChangeAspect="1"/>
                    </pic:cNvPicPr>
                  </pic:nvPicPr>
                  <pic:blipFill>
                    <a:blip r:embed="rId226"/>
                    <a:stretch>
                      <a:fillRect/>
                    </a:stretch>
                  </pic:blipFill>
                  <pic:spPr>
                    <a:xfrm>
                      <a:off x="0" y="0"/>
                      <a:ext cx="1234800" cy="1440000"/>
                    </a:xfrm>
                    <a:prstGeom prst="rect">
                      <a:avLst/>
                    </a:prstGeom>
                  </pic:spPr>
                </pic:pic>
              </a:graphicData>
            </a:graphic>
          </wp:inline>
        </w:drawing>
      </w:r>
      <w:r>
        <w:rPr>
          <w:rFonts w:eastAsia="宋体" w:cs="Times New Roman"/>
        </w:rPr>
        <w:t xml:space="preserve"> </w:t>
      </w:r>
      <w:r>
        <w:rPr>
          <w:rFonts w:eastAsia="宋体" w:cs="Times New Roman"/>
        </w:rPr>
        <w:drawing>
          <wp:inline distT="0" distB="0" distL="0" distR="0">
            <wp:extent cx="1104900" cy="1439545"/>
            <wp:effectExtent l="0" t="0" r="0" b="8255"/>
            <wp:docPr id="30878" name="图片 3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8" name="图片 30878"/>
                    <pic:cNvPicPr>
                      <a:picLocks noChangeAspect="1"/>
                    </pic:cNvPicPr>
                  </pic:nvPicPr>
                  <pic:blipFill>
                    <a:blip r:embed="rId227"/>
                    <a:stretch>
                      <a:fillRect/>
                    </a:stretch>
                  </pic:blipFill>
                  <pic:spPr>
                    <a:xfrm>
                      <a:off x="0" y="0"/>
                      <a:ext cx="1105200" cy="144000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12</w:t>
      </w:r>
      <w:r>
        <w:rPr>
          <w:rFonts w:hint="eastAsia" w:eastAsia="宋体" w:cs="Times New Roman"/>
          <w:sz w:val="21"/>
          <w:szCs w:val="21"/>
        </w:rPr>
        <w:t>急救设备设施设置示例</w:t>
      </w:r>
    </w:p>
    <w:p>
      <w:pPr>
        <w:spacing w:after="120"/>
        <w:ind w:firstLine="480" w:firstLineChars="200"/>
        <w:rPr>
          <w:rFonts w:cs="Times New Roman" w:eastAsiaTheme="minorEastAsia"/>
          <w:sz w:val="24"/>
          <w:szCs w:val="21"/>
        </w:rPr>
      </w:pPr>
      <w:r>
        <w:rPr>
          <w:rFonts w:cs="Times New Roman" w:eastAsiaTheme="minorEastAsia"/>
          <w:sz w:val="24"/>
          <w:szCs w:val="21"/>
        </w:rPr>
        <w:t>（四）物品物件“四定位”</w:t>
      </w:r>
    </w:p>
    <w:p>
      <w:pPr>
        <w:spacing w:after="120"/>
        <w:ind w:firstLine="480" w:firstLineChars="200"/>
        <w:rPr>
          <w:rFonts w:cs="Times New Roman" w:eastAsiaTheme="minorEastAsia"/>
          <w:sz w:val="24"/>
          <w:szCs w:val="21"/>
        </w:rPr>
      </w:pPr>
      <w:r>
        <w:rPr>
          <w:rFonts w:cs="Times New Roman" w:eastAsiaTheme="minorEastAsia"/>
          <w:sz w:val="24"/>
          <w:szCs w:val="21"/>
        </w:rPr>
        <w:t>1.防护用品定置摆放。防止防护用品丢失、老化。</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439670" cy="1575435"/>
            <wp:effectExtent l="0" t="0" r="17780" b="5715"/>
            <wp:docPr id="30879" name="图片 3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9" name="图片 3087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a:xfrm>
                      <a:off x="0" y="0"/>
                      <a:ext cx="2439670" cy="1575435"/>
                    </a:xfrm>
                    <a:prstGeom prst="rect">
                      <a:avLst/>
                    </a:prstGeom>
                    <a:noFill/>
                    <a:ln>
                      <a:noFill/>
                    </a:ln>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13</w:t>
      </w:r>
      <w:r>
        <w:rPr>
          <w:rFonts w:hint="eastAsia" w:eastAsia="宋体" w:cs="Times New Roman"/>
          <w:sz w:val="21"/>
          <w:szCs w:val="21"/>
        </w:rPr>
        <w:t>防护用品定置摆放示例</w:t>
      </w:r>
    </w:p>
    <w:p>
      <w:pPr>
        <w:spacing w:after="120"/>
        <w:ind w:firstLine="480" w:firstLineChars="200"/>
        <w:rPr>
          <w:rFonts w:cs="Times New Roman" w:eastAsiaTheme="minorEastAsia"/>
          <w:sz w:val="24"/>
          <w:szCs w:val="21"/>
        </w:rPr>
      </w:pPr>
      <w:r>
        <w:rPr>
          <w:rFonts w:cs="Times New Roman" w:eastAsiaTheme="minorEastAsia"/>
          <w:sz w:val="24"/>
          <w:szCs w:val="21"/>
        </w:rPr>
        <w:t>2. 设备、物料定位摆放。设备、原料、半成品、成品堆放区域。车间整理、整顿、规范化管理。</w:t>
      </w:r>
    </w:p>
    <w:p>
      <w:pPr>
        <w:spacing w:line="360" w:lineRule="auto"/>
        <w:jc w:val="center"/>
        <w:rPr>
          <w:rFonts w:eastAsia="宋体" w:cs="Times New Roman"/>
          <w:sz w:val="24"/>
          <w:szCs w:val="21"/>
        </w:rPr>
      </w:pPr>
      <w:r>
        <w:rPr>
          <w:rFonts w:eastAsia="宋体" w:cs="Times New Roman"/>
          <w:sz w:val="24"/>
          <w:szCs w:val="21"/>
        </w:rPr>
        <w:drawing>
          <wp:inline distT="0" distB="0" distL="0" distR="0">
            <wp:extent cx="2266315" cy="1618615"/>
            <wp:effectExtent l="0" t="0" r="635" b="635"/>
            <wp:docPr id="30880" name="Picture 40" descr="新图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0" name="Picture 40" descr="新图啊"/>
                    <pic:cNvPicPr>
                      <a:picLocks noChangeAspect="1" noChangeArrowheads="1"/>
                    </pic:cNvPicPr>
                  </pic:nvPicPr>
                  <pic:blipFill>
                    <a:blip r:embed="rId229" cstate="print"/>
                    <a:srcRect/>
                    <a:stretch>
                      <a:fillRect/>
                    </a:stretch>
                  </pic:blipFill>
                  <pic:spPr>
                    <a:xfrm>
                      <a:off x="0" y="0"/>
                      <a:ext cx="2266315" cy="1618615"/>
                    </a:xfrm>
                    <a:prstGeom prst="rect">
                      <a:avLst/>
                    </a:prstGeom>
                    <a:noFill/>
                    <a:ln>
                      <a:noFill/>
                    </a:ln>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14</w:t>
      </w:r>
      <w:r>
        <w:rPr>
          <w:rFonts w:hint="eastAsia" w:eastAsia="宋体" w:cs="Times New Roman"/>
          <w:sz w:val="21"/>
          <w:szCs w:val="21"/>
        </w:rPr>
        <w:t>设备、物料定位摆放示例</w:t>
      </w:r>
    </w:p>
    <w:p>
      <w:pPr>
        <w:spacing w:line="360" w:lineRule="auto"/>
        <w:ind w:firstLine="480" w:firstLineChars="200"/>
        <w:rPr>
          <w:rFonts w:eastAsia="宋体" w:cs="Times New Roman"/>
          <w:sz w:val="24"/>
          <w:szCs w:val="21"/>
        </w:rPr>
      </w:pPr>
    </w:p>
    <w:p>
      <w:pPr>
        <w:spacing w:after="120"/>
        <w:ind w:firstLine="480" w:firstLineChars="200"/>
        <w:rPr>
          <w:rFonts w:cs="Times New Roman" w:eastAsiaTheme="minorEastAsia"/>
          <w:sz w:val="24"/>
          <w:szCs w:val="21"/>
        </w:rPr>
      </w:pPr>
      <w:r>
        <w:rPr>
          <w:rFonts w:cs="Times New Roman" w:eastAsiaTheme="minorEastAsia"/>
          <w:sz w:val="24"/>
          <w:szCs w:val="21"/>
        </w:rPr>
        <w:t>3. 常用移动小车定位摆放。手推车、拖车、液压车、登高车现场规范化管理。</w:t>
      </w:r>
    </w:p>
    <w:p>
      <w:pPr>
        <w:spacing w:after="120"/>
        <w:jc w:val="center"/>
        <w:rPr>
          <w:rFonts w:eastAsia="宋体" w:cs="Times New Roman"/>
        </w:rPr>
      </w:pPr>
      <w:r>
        <w:rPr>
          <w:rFonts w:eastAsia="宋体" w:cs="Times New Roman"/>
          <w:sz w:val="28"/>
          <w:szCs w:val="20"/>
        </w:rPr>
        <w:drawing>
          <wp:inline distT="0" distB="0" distL="0" distR="0">
            <wp:extent cx="2015490" cy="1439545"/>
            <wp:effectExtent l="0" t="0" r="3810" b="8255"/>
            <wp:docPr id="308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1"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a:xfrm>
                      <a:off x="0" y="0"/>
                      <a:ext cx="2016000" cy="1440000"/>
                    </a:xfrm>
                    <a:prstGeom prst="rect">
                      <a:avLst/>
                    </a:prstGeom>
                    <a:noFill/>
                    <a:ln>
                      <a:noFill/>
                    </a:ln>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15</w:t>
      </w:r>
      <w:r>
        <w:rPr>
          <w:rFonts w:hint="eastAsia" w:eastAsia="宋体" w:cs="Times New Roman"/>
          <w:sz w:val="21"/>
          <w:szCs w:val="21"/>
        </w:rPr>
        <w:t>常用移动小车定位摆放示例</w:t>
      </w:r>
    </w:p>
    <w:p>
      <w:pPr>
        <w:spacing w:after="120"/>
        <w:ind w:firstLine="480" w:firstLineChars="200"/>
        <w:rPr>
          <w:rFonts w:eastAsia="宋体" w:cs="Times New Roman"/>
          <w:sz w:val="24"/>
          <w:szCs w:val="21"/>
        </w:rPr>
      </w:pPr>
      <w:r>
        <w:rPr>
          <w:rFonts w:eastAsia="宋体" w:cs="Times New Roman"/>
          <w:sz w:val="24"/>
          <w:szCs w:val="21"/>
        </w:rPr>
        <w:t>4. 工器具定位摆放，定置管理。工具箱、柜责任人明确、物品分类存放并按形迹管理要求执行、箱内清单并附照片。</w:t>
      </w:r>
    </w:p>
    <w:p>
      <w:pPr>
        <w:spacing w:after="120"/>
        <w:jc w:val="center"/>
        <w:rPr>
          <w:rFonts w:eastAsia="宋体" w:cs="Times New Roman"/>
        </w:rPr>
      </w:pPr>
      <w:r>
        <w:rPr>
          <w:rFonts w:eastAsia="宋体" w:cs="Times New Roman"/>
          <w:sz w:val="28"/>
          <w:szCs w:val="20"/>
        </w:rPr>
        <w:drawing>
          <wp:inline distT="0" distB="0" distL="0" distR="0">
            <wp:extent cx="2274570" cy="1439545"/>
            <wp:effectExtent l="0" t="0" r="0" b="8255"/>
            <wp:docPr id="30882" name="图片 3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2" name="图片 3088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2275200" cy="1440000"/>
                    </a:xfrm>
                    <a:prstGeom prst="rect">
                      <a:avLst/>
                    </a:prstGeom>
                    <a:noFill/>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16</w:t>
      </w:r>
      <w:r>
        <w:rPr>
          <w:rFonts w:hint="eastAsia" w:eastAsia="宋体" w:cs="Times New Roman"/>
          <w:sz w:val="21"/>
          <w:szCs w:val="21"/>
        </w:rPr>
        <w:t>工器具定位摆放示例</w:t>
      </w:r>
    </w:p>
    <w:p>
      <w:pPr>
        <w:spacing w:after="120"/>
        <w:ind w:firstLine="480" w:firstLineChars="200"/>
        <w:rPr>
          <w:rFonts w:cs="Times New Roman" w:eastAsiaTheme="minorEastAsia"/>
          <w:sz w:val="24"/>
          <w:szCs w:val="21"/>
        </w:rPr>
      </w:pPr>
      <w:r>
        <w:rPr>
          <w:rFonts w:eastAsia="宋体" w:cs="Times New Roman"/>
          <w:sz w:val="24"/>
          <w:szCs w:val="21"/>
        </w:rPr>
        <w:t>（</w:t>
      </w:r>
      <w:r>
        <w:rPr>
          <w:rFonts w:cs="Times New Roman" w:eastAsiaTheme="minorEastAsia"/>
          <w:sz w:val="24"/>
          <w:szCs w:val="21"/>
        </w:rPr>
        <w:t>五）设备设施“六必有”</w:t>
      </w:r>
    </w:p>
    <w:p>
      <w:pPr>
        <w:spacing w:after="120"/>
        <w:ind w:firstLine="480" w:firstLineChars="200"/>
        <w:rPr>
          <w:rFonts w:cs="Times New Roman" w:eastAsiaTheme="minorEastAsia"/>
          <w:sz w:val="24"/>
          <w:szCs w:val="21"/>
        </w:rPr>
      </w:pPr>
      <w:r>
        <w:rPr>
          <w:rFonts w:cs="Times New Roman" w:eastAsiaTheme="minorEastAsia"/>
          <w:sz w:val="24"/>
          <w:szCs w:val="21"/>
        </w:rPr>
        <w:t>1. 机械、电气设施必有防护。机械设备转动部位、电气设施裸露部位设置防护措施，防止发生机械伤害事故和触电事故。</w:t>
      </w:r>
    </w:p>
    <w:p>
      <w:pPr>
        <w:spacing w:after="120"/>
        <w:jc w:val="center"/>
        <w:rPr>
          <w:rFonts w:eastAsia="宋体" w:cs="Times New Roman"/>
          <w:sz w:val="28"/>
          <w:szCs w:val="20"/>
        </w:rPr>
      </w:pPr>
      <w:r>
        <w:rPr>
          <w:rFonts w:eastAsia="宋体" w:cs="Times New Roman"/>
          <w:sz w:val="28"/>
          <w:szCs w:val="20"/>
        </w:rPr>
        <w:drawing>
          <wp:inline distT="0" distB="0" distL="0" distR="0">
            <wp:extent cx="2015490" cy="1439545"/>
            <wp:effectExtent l="0" t="0" r="3810" b="8255"/>
            <wp:docPr id="30883" name="Picture 17" descr="C:\admin\photo3\PIC00062.JPG"/>
            <wp:cNvGraphicFramePr/>
            <a:graphic xmlns:a="http://schemas.openxmlformats.org/drawingml/2006/main">
              <a:graphicData uri="http://schemas.openxmlformats.org/drawingml/2006/picture">
                <pic:pic xmlns:pic="http://schemas.openxmlformats.org/drawingml/2006/picture">
                  <pic:nvPicPr>
                    <pic:cNvPr id="30883" name="Picture 17" descr="C:\admin\photo3\PIC00062.JPG"/>
                    <pic:cNvPicPr/>
                  </pic:nvPicPr>
                  <pic:blipFill>
                    <a:blip r:embed="rId232"/>
                    <a:stretch>
                      <a:fillRect/>
                    </a:stretch>
                  </pic:blipFill>
                  <pic:spPr>
                    <a:xfrm>
                      <a:off x="0" y="0"/>
                      <a:ext cx="2016000" cy="1440000"/>
                    </a:xfrm>
                    <a:prstGeom prst="rect">
                      <a:avLst/>
                    </a:prstGeom>
                    <a:noFill/>
                    <a:ln>
                      <a:noFill/>
                    </a:ln>
                  </pic:spPr>
                </pic:pic>
              </a:graphicData>
            </a:graphic>
          </wp:inline>
        </w:drawing>
      </w:r>
    </w:p>
    <w:p>
      <w:pPr>
        <w:spacing w:after="120"/>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17</w:t>
      </w:r>
      <w:r>
        <w:rPr>
          <w:rFonts w:hint="eastAsia" w:eastAsia="宋体" w:cs="Times New Roman"/>
          <w:sz w:val="21"/>
          <w:szCs w:val="21"/>
        </w:rPr>
        <w:t>机械设备防护示例</w:t>
      </w:r>
    </w:p>
    <w:p>
      <w:pPr>
        <w:spacing w:after="120"/>
        <w:ind w:firstLine="480" w:firstLineChars="200"/>
        <w:rPr>
          <w:rFonts w:cs="Times New Roman" w:eastAsiaTheme="minorEastAsia"/>
          <w:sz w:val="24"/>
          <w:szCs w:val="21"/>
        </w:rPr>
      </w:pPr>
      <w:r>
        <w:rPr>
          <w:rFonts w:cs="Times New Roman" w:eastAsiaTheme="minorEastAsia"/>
          <w:sz w:val="24"/>
          <w:szCs w:val="21"/>
        </w:rPr>
        <w:t>2. 特种设备、安全附件必有检验。特种设备、安全附件定期检验，防止发生特种设备安全事故。</w:t>
      </w:r>
    </w:p>
    <w:p>
      <w:pPr>
        <w:spacing w:after="120"/>
        <w:jc w:val="center"/>
        <w:rPr>
          <w:rFonts w:eastAsia="宋体" w:cs="Times New Roman"/>
        </w:rPr>
      </w:pPr>
      <w:r>
        <w:rPr>
          <w:rFonts w:eastAsia="宋体" w:cs="Times New Roman"/>
          <w:sz w:val="28"/>
          <w:szCs w:val="20"/>
        </w:rPr>
        <w:drawing>
          <wp:inline distT="0" distB="0" distL="0" distR="0">
            <wp:extent cx="1851660" cy="1292860"/>
            <wp:effectExtent l="0" t="0" r="15240" b="2540"/>
            <wp:docPr id="30884" name="图片 30884"/>
            <wp:cNvGraphicFramePr/>
            <a:graphic xmlns:a="http://schemas.openxmlformats.org/drawingml/2006/main">
              <a:graphicData uri="http://schemas.openxmlformats.org/drawingml/2006/picture">
                <pic:pic xmlns:pic="http://schemas.openxmlformats.org/drawingml/2006/picture">
                  <pic:nvPicPr>
                    <pic:cNvPr id="30884" name="图片 30884"/>
                    <pic:cNvPicPr/>
                  </pic:nvPicPr>
                  <pic:blipFill>
                    <a:blip r:embed="rId233"/>
                    <a:stretch>
                      <a:fillRect/>
                    </a:stretch>
                  </pic:blipFill>
                  <pic:spPr>
                    <a:xfrm>
                      <a:off x="0" y="0"/>
                      <a:ext cx="1851660" cy="129286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18</w:t>
      </w:r>
      <w:r>
        <w:rPr>
          <w:rFonts w:hint="eastAsia" w:eastAsia="宋体" w:cs="Times New Roman"/>
          <w:sz w:val="21"/>
          <w:szCs w:val="21"/>
        </w:rPr>
        <w:t>安全附件检验示例</w:t>
      </w:r>
    </w:p>
    <w:p>
      <w:pPr>
        <w:spacing w:after="120"/>
        <w:ind w:firstLine="480" w:firstLineChars="200"/>
        <w:rPr>
          <w:rFonts w:cs="Times New Roman" w:eastAsiaTheme="minorEastAsia"/>
          <w:sz w:val="24"/>
          <w:szCs w:val="21"/>
        </w:rPr>
      </w:pPr>
      <w:r>
        <w:rPr>
          <w:rFonts w:cs="Times New Roman" w:eastAsiaTheme="minorEastAsia"/>
          <w:sz w:val="24"/>
          <w:szCs w:val="21"/>
        </w:rPr>
        <w:t>3. 设备设施必有管理。设置现场设备状态提示卡。并对每台设备定期做好点检和维护保养。</w:t>
      </w:r>
    </w:p>
    <w:p>
      <w:pPr>
        <w:spacing w:after="120"/>
        <w:jc w:val="center"/>
        <w:rPr>
          <w:rFonts w:eastAsia="宋体" w:cs="Times New Roman"/>
        </w:rPr>
      </w:pPr>
      <w:r>
        <w:rPr>
          <w:rFonts w:eastAsia="宋体" w:cs="Times New Roman"/>
          <w:sz w:val="28"/>
          <w:szCs w:val="20"/>
        </w:rPr>
        <w:drawing>
          <wp:inline distT="0" distB="0" distL="0" distR="0">
            <wp:extent cx="2015490" cy="1439545"/>
            <wp:effectExtent l="0" t="0" r="3810" b="8255"/>
            <wp:docPr id="30885" name="图片 30885"/>
            <wp:cNvGraphicFramePr/>
            <a:graphic xmlns:a="http://schemas.openxmlformats.org/drawingml/2006/main">
              <a:graphicData uri="http://schemas.openxmlformats.org/drawingml/2006/picture">
                <pic:pic xmlns:pic="http://schemas.openxmlformats.org/drawingml/2006/picture">
                  <pic:nvPicPr>
                    <pic:cNvPr id="30885" name="图片 30885"/>
                    <pic:cNvPicPr/>
                  </pic:nvPicPr>
                  <pic:blipFill>
                    <a:blip r:embed="rId234"/>
                    <a:stretch>
                      <a:fillRect/>
                    </a:stretch>
                  </pic:blipFill>
                  <pic:spPr>
                    <a:xfrm>
                      <a:off x="0" y="0"/>
                      <a:ext cx="2016000" cy="144000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19</w:t>
      </w:r>
      <w:r>
        <w:rPr>
          <w:rFonts w:hint="eastAsia" w:eastAsia="宋体" w:cs="Times New Roman"/>
          <w:sz w:val="21"/>
          <w:szCs w:val="21"/>
        </w:rPr>
        <w:t>设备设施状态管理示例</w:t>
      </w:r>
    </w:p>
    <w:p>
      <w:pPr>
        <w:spacing w:after="120"/>
        <w:ind w:firstLine="480" w:firstLineChars="200"/>
        <w:rPr>
          <w:rFonts w:cs="Times New Roman" w:eastAsiaTheme="minorEastAsia"/>
          <w:sz w:val="24"/>
          <w:szCs w:val="21"/>
        </w:rPr>
      </w:pPr>
      <w:r>
        <w:rPr>
          <w:rFonts w:cs="Times New Roman" w:eastAsiaTheme="minorEastAsia"/>
          <w:sz w:val="24"/>
          <w:szCs w:val="21"/>
        </w:rPr>
        <w:t>4. 检维修作业必有断电、上锁、挂牌。设备检维修进行断电、上锁、能源隔断、挂牌，进行能量锁定和警示标识。</w:t>
      </w:r>
    </w:p>
    <w:p>
      <w:pPr>
        <w:spacing w:line="360" w:lineRule="auto"/>
        <w:jc w:val="center"/>
        <w:rPr>
          <w:rFonts w:eastAsia="宋体" w:cs="Times New Roman"/>
          <w:sz w:val="24"/>
          <w:szCs w:val="21"/>
        </w:rPr>
      </w:pPr>
      <w:r>
        <w:rPr>
          <w:rFonts w:eastAsia="宋体" w:cs="Times New Roman"/>
          <w:sz w:val="24"/>
          <w:szCs w:val="21"/>
        </w:rPr>
        <w:drawing>
          <wp:inline distT="0" distB="0" distL="0" distR="0">
            <wp:extent cx="2015490" cy="1439545"/>
            <wp:effectExtent l="0" t="0" r="3810" b="8255"/>
            <wp:docPr id="30886" name="图片 30886"/>
            <wp:cNvGraphicFramePr/>
            <a:graphic xmlns:a="http://schemas.openxmlformats.org/drawingml/2006/main">
              <a:graphicData uri="http://schemas.openxmlformats.org/drawingml/2006/picture">
                <pic:pic xmlns:pic="http://schemas.openxmlformats.org/drawingml/2006/picture">
                  <pic:nvPicPr>
                    <pic:cNvPr id="30886" name="图片 30886"/>
                    <pic:cNvPicPr/>
                  </pic:nvPicPr>
                  <pic:blipFill>
                    <a:blip r:embed="rId235"/>
                    <a:stretch>
                      <a:fillRect/>
                    </a:stretch>
                  </pic:blipFill>
                  <pic:spPr>
                    <a:xfrm>
                      <a:off x="0" y="0"/>
                      <a:ext cx="2016000" cy="144000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20</w:t>
      </w:r>
      <w:r>
        <w:rPr>
          <w:rFonts w:hint="eastAsia" w:eastAsia="宋体" w:cs="Times New Roman"/>
          <w:sz w:val="21"/>
          <w:szCs w:val="21"/>
        </w:rPr>
        <w:t>检维修上牌管理示例</w:t>
      </w:r>
    </w:p>
    <w:p>
      <w:pPr>
        <w:spacing w:after="120"/>
        <w:ind w:firstLine="480" w:firstLineChars="200"/>
        <w:rPr>
          <w:rFonts w:cs="Times New Roman" w:eastAsiaTheme="minorEastAsia"/>
          <w:sz w:val="24"/>
          <w:szCs w:val="21"/>
        </w:rPr>
      </w:pPr>
    </w:p>
    <w:p>
      <w:pPr>
        <w:spacing w:after="120"/>
        <w:ind w:firstLine="480" w:firstLineChars="200"/>
        <w:rPr>
          <w:rFonts w:cs="Times New Roman" w:eastAsiaTheme="minorEastAsia"/>
          <w:sz w:val="24"/>
          <w:szCs w:val="21"/>
        </w:rPr>
      </w:pPr>
      <w:r>
        <w:rPr>
          <w:rFonts w:cs="Times New Roman" w:eastAsiaTheme="minorEastAsia"/>
          <w:sz w:val="24"/>
          <w:szCs w:val="21"/>
        </w:rPr>
        <w:t>5. 危险区域必有警示。有限空间、涉爆粉尘、液氨使用、金属熔融等危险区域设置警示牌，让作业人员了解危险场所的危害和管控措施。</w:t>
      </w:r>
    </w:p>
    <w:p>
      <w:pPr>
        <w:spacing w:after="120"/>
        <w:jc w:val="center"/>
        <w:rPr>
          <w:rFonts w:eastAsia="宋体" w:cs="Times New Roman"/>
        </w:rPr>
      </w:pPr>
      <w:r>
        <w:rPr>
          <w:rFonts w:eastAsia="宋体" w:cs="Times New Roman"/>
          <w:sz w:val="28"/>
          <w:szCs w:val="20"/>
        </w:rPr>
        <w:drawing>
          <wp:inline distT="0" distB="0" distL="0" distR="0">
            <wp:extent cx="2015490" cy="1439545"/>
            <wp:effectExtent l="0" t="0" r="3810" b="8255"/>
            <wp:docPr id="30887" name="图片 30887"/>
            <wp:cNvGraphicFramePr/>
            <a:graphic xmlns:a="http://schemas.openxmlformats.org/drawingml/2006/main">
              <a:graphicData uri="http://schemas.openxmlformats.org/drawingml/2006/picture">
                <pic:pic xmlns:pic="http://schemas.openxmlformats.org/drawingml/2006/picture">
                  <pic:nvPicPr>
                    <pic:cNvPr id="30887" name="图片 30887"/>
                    <pic:cNvPicPr/>
                  </pic:nvPicPr>
                  <pic:blipFill>
                    <a:blip r:embed="rId236"/>
                    <a:stretch>
                      <a:fillRect/>
                    </a:stretch>
                  </pic:blipFill>
                  <pic:spPr>
                    <a:xfrm>
                      <a:off x="0" y="0"/>
                      <a:ext cx="2016000" cy="144000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21</w:t>
      </w:r>
      <w:r>
        <w:rPr>
          <w:rFonts w:hint="eastAsia" w:eastAsia="宋体" w:cs="Times New Roman"/>
          <w:sz w:val="21"/>
          <w:szCs w:val="21"/>
        </w:rPr>
        <w:t>有限空间警示牌示例</w:t>
      </w:r>
    </w:p>
    <w:p>
      <w:pPr>
        <w:spacing w:after="120"/>
        <w:ind w:firstLine="480" w:firstLineChars="200"/>
        <w:rPr>
          <w:rFonts w:cs="Times New Roman" w:eastAsiaTheme="minorEastAsia"/>
          <w:sz w:val="24"/>
          <w:szCs w:val="21"/>
        </w:rPr>
      </w:pPr>
      <w:r>
        <w:rPr>
          <w:rFonts w:cs="Times New Roman" w:eastAsiaTheme="minorEastAsia"/>
          <w:sz w:val="24"/>
          <w:szCs w:val="21"/>
        </w:rPr>
        <w:t>6. 自动化设备必有联锁。易发生机械伤害、起重伤害的危险部位，如机械手四周防护栏入口联锁装置（限位开关）、升降平台入口（行程开关）、起重机械联锁装置（限重、限高）、数控车床移动门联锁（限位）、大型压机联锁（光栅）等。</w:t>
      </w:r>
    </w:p>
    <w:p>
      <w:pPr>
        <w:spacing w:after="120"/>
        <w:jc w:val="center"/>
        <w:rPr>
          <w:rFonts w:eastAsia="宋体" w:cs="Times New Roman"/>
        </w:rPr>
      </w:pPr>
      <w:r>
        <w:rPr>
          <w:rFonts w:eastAsia="宋体" w:cs="Times New Roman"/>
          <w:sz w:val="28"/>
          <w:szCs w:val="20"/>
        </w:rPr>
        <w:drawing>
          <wp:inline distT="0" distB="0" distL="0" distR="0">
            <wp:extent cx="2300605" cy="1643380"/>
            <wp:effectExtent l="0" t="0" r="4445" b="13970"/>
            <wp:docPr id="30888" name="Picture 8" descr="PIC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8" name="Picture 8" descr="PIC00018"/>
                    <pic:cNvPicPr>
                      <a:picLocks noChangeAspect="1" noChangeArrowheads="1"/>
                    </pic:cNvPicPr>
                  </pic:nvPicPr>
                  <pic:blipFill>
                    <a:blip r:embed="rId237"/>
                    <a:srcRect/>
                    <a:stretch>
                      <a:fillRect/>
                    </a:stretch>
                  </pic:blipFill>
                  <pic:spPr>
                    <a:xfrm>
                      <a:off x="0" y="0"/>
                      <a:ext cx="2300605" cy="1643380"/>
                    </a:xfrm>
                    <a:prstGeom prst="rect">
                      <a:avLst/>
                    </a:prstGeom>
                    <a:noFill/>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22</w:t>
      </w:r>
      <w:r>
        <w:rPr>
          <w:rFonts w:hint="eastAsia" w:eastAsia="宋体" w:cs="Times New Roman"/>
          <w:sz w:val="21"/>
          <w:szCs w:val="21"/>
        </w:rPr>
        <w:t>联锁装置示例</w:t>
      </w:r>
    </w:p>
    <w:p>
      <w:pPr>
        <w:spacing w:after="120"/>
        <w:ind w:firstLine="480" w:firstLineChars="200"/>
        <w:rPr>
          <w:rFonts w:cs="Times New Roman" w:eastAsiaTheme="minorEastAsia"/>
          <w:sz w:val="24"/>
          <w:szCs w:val="21"/>
        </w:rPr>
      </w:pPr>
      <w:r>
        <w:rPr>
          <w:rFonts w:cs="Times New Roman" w:eastAsiaTheme="minorEastAsia"/>
          <w:sz w:val="24"/>
          <w:szCs w:val="21"/>
        </w:rPr>
        <w:t>（六）车间现场安全可视化</w:t>
      </w:r>
    </w:p>
    <w:p>
      <w:pPr>
        <w:spacing w:after="120"/>
        <w:ind w:firstLine="480" w:firstLineChars="200"/>
        <w:rPr>
          <w:rFonts w:cs="Times New Roman" w:eastAsiaTheme="minorEastAsia"/>
          <w:sz w:val="24"/>
          <w:szCs w:val="21"/>
        </w:rPr>
      </w:pPr>
      <w:r>
        <w:rPr>
          <w:rFonts w:cs="Times New Roman" w:eastAsiaTheme="minorEastAsia"/>
          <w:sz w:val="24"/>
          <w:szCs w:val="21"/>
        </w:rPr>
        <w:t>1.防磕头标识。防止磕头线标注在人行通道高度不足1.8m的障碍物上。</w:t>
      </w:r>
    </w:p>
    <w:p>
      <w:pPr>
        <w:spacing w:after="120"/>
        <w:jc w:val="center"/>
        <w:rPr>
          <w:rFonts w:eastAsia="宋体" w:cs="Times New Roman"/>
        </w:rPr>
      </w:pPr>
      <w:r>
        <w:rPr>
          <w:rFonts w:eastAsia="宋体" w:cs="Times New Roman"/>
          <w:sz w:val="28"/>
          <w:szCs w:val="20"/>
        </w:rPr>
        <w:drawing>
          <wp:anchor distT="0" distB="0" distL="0" distR="0" simplePos="0" relativeHeight="251695104" behindDoc="0" locked="0" layoutInCell="1" allowOverlap="1">
            <wp:simplePos x="0" y="0"/>
            <wp:positionH relativeFrom="column">
              <wp:posOffset>68580</wp:posOffset>
            </wp:positionH>
            <wp:positionV relativeFrom="paragraph">
              <wp:posOffset>266065</wp:posOffset>
            </wp:positionV>
            <wp:extent cx="1816735" cy="1318895"/>
            <wp:effectExtent l="0" t="0" r="12065" b="14605"/>
            <wp:wrapNone/>
            <wp:docPr id="30889" name="图片 30889"/>
            <wp:cNvGraphicFramePr/>
            <a:graphic xmlns:a="http://schemas.openxmlformats.org/drawingml/2006/main">
              <a:graphicData uri="http://schemas.openxmlformats.org/drawingml/2006/picture">
                <pic:pic xmlns:pic="http://schemas.openxmlformats.org/drawingml/2006/picture">
                  <pic:nvPicPr>
                    <pic:cNvPr id="30889" name="图片 30889"/>
                    <pic:cNvPicPr/>
                  </pic:nvPicPr>
                  <pic:blipFill>
                    <a:blip r:embed="rId238"/>
                    <a:stretch>
                      <a:fillRect/>
                    </a:stretch>
                  </pic:blipFill>
                  <pic:spPr>
                    <a:xfrm>
                      <a:off x="0" y="0"/>
                      <a:ext cx="1816735" cy="1318895"/>
                    </a:xfrm>
                    <a:prstGeom prst="rect">
                      <a:avLst/>
                    </a:prstGeom>
                  </pic:spPr>
                </pic:pic>
              </a:graphicData>
            </a:graphic>
          </wp:anchor>
        </w:drawing>
      </w:r>
    </w:p>
    <w:p>
      <w:pPr>
        <w:spacing w:after="120"/>
        <w:jc w:val="center"/>
        <w:rPr>
          <w:rFonts w:eastAsia="宋体" w:cs="Times New Roman"/>
        </w:rPr>
      </w:pPr>
      <w:r>
        <w:rPr>
          <w:rFonts w:eastAsia="宋体" w:cs="Times New Roman"/>
          <w:sz w:val="28"/>
          <w:szCs w:val="20"/>
        </w:rPr>
        <w:drawing>
          <wp:anchor distT="0" distB="0" distL="0" distR="0" simplePos="0" relativeHeight="251694080" behindDoc="0" locked="0" layoutInCell="1" allowOverlap="1">
            <wp:simplePos x="0" y="0"/>
            <wp:positionH relativeFrom="column">
              <wp:posOffset>1998980</wp:posOffset>
            </wp:positionH>
            <wp:positionV relativeFrom="paragraph">
              <wp:posOffset>170815</wp:posOffset>
            </wp:positionV>
            <wp:extent cx="1952625" cy="911860"/>
            <wp:effectExtent l="0" t="0" r="9525" b="2540"/>
            <wp:wrapNone/>
            <wp:docPr id="30890" name="图片 30890"/>
            <wp:cNvGraphicFramePr/>
            <a:graphic xmlns:a="http://schemas.openxmlformats.org/drawingml/2006/main">
              <a:graphicData uri="http://schemas.openxmlformats.org/drawingml/2006/picture">
                <pic:pic xmlns:pic="http://schemas.openxmlformats.org/drawingml/2006/picture">
                  <pic:nvPicPr>
                    <pic:cNvPr id="30890" name="图片 30890"/>
                    <pic:cNvPicPr/>
                  </pic:nvPicPr>
                  <pic:blipFill>
                    <a:blip r:embed="rId239"/>
                    <a:stretch>
                      <a:fillRect/>
                    </a:stretch>
                  </pic:blipFill>
                  <pic:spPr>
                    <a:xfrm>
                      <a:off x="0" y="0"/>
                      <a:ext cx="1952625" cy="911860"/>
                    </a:xfrm>
                    <a:prstGeom prst="rect">
                      <a:avLst/>
                    </a:prstGeom>
                  </pic:spPr>
                </pic:pic>
              </a:graphicData>
            </a:graphic>
          </wp:anchor>
        </w:drawing>
      </w:r>
    </w:p>
    <w:p>
      <w:pPr>
        <w:pStyle w:val="2"/>
      </w:pPr>
    </w:p>
    <w:p>
      <w:pPr>
        <w:pStyle w:val="2"/>
      </w:pPr>
    </w:p>
    <w:p>
      <w:pPr>
        <w:pStyle w:val="2"/>
      </w:pPr>
    </w:p>
    <w:p>
      <w:pPr>
        <w:spacing w:line="360" w:lineRule="auto"/>
        <w:ind w:firstLine="2100" w:firstLineChars="1000"/>
        <w:rPr>
          <w:rFonts w:eastAsia="宋体" w:cs="Times New Roman"/>
          <w:sz w:val="21"/>
          <w:szCs w:val="21"/>
        </w:rPr>
      </w:pPr>
      <w:r>
        <w:rPr>
          <w:rFonts w:hint="eastAsia" w:eastAsia="宋体" w:cs="Times New Roman"/>
          <w:sz w:val="21"/>
          <w:szCs w:val="21"/>
        </w:rPr>
        <w:t>图14.5-</w:t>
      </w:r>
      <w:r>
        <w:rPr>
          <w:rFonts w:eastAsia="宋体" w:cs="Times New Roman"/>
          <w:sz w:val="21"/>
          <w:szCs w:val="21"/>
        </w:rPr>
        <w:t>23</w:t>
      </w:r>
      <w:r>
        <w:rPr>
          <w:rFonts w:hint="eastAsia" w:eastAsia="宋体" w:cs="Times New Roman"/>
          <w:sz w:val="21"/>
          <w:szCs w:val="21"/>
        </w:rPr>
        <w:t>防磕头标识示例</w:t>
      </w:r>
    </w:p>
    <w:p>
      <w:pPr>
        <w:pStyle w:val="2"/>
      </w:pPr>
    </w:p>
    <w:p>
      <w:pPr>
        <w:spacing w:after="120"/>
        <w:ind w:firstLine="480" w:firstLineChars="200"/>
        <w:rPr>
          <w:rFonts w:cs="Times New Roman" w:eastAsiaTheme="minorEastAsia"/>
          <w:sz w:val="24"/>
          <w:szCs w:val="21"/>
        </w:rPr>
      </w:pPr>
    </w:p>
    <w:p>
      <w:pPr>
        <w:spacing w:after="120"/>
        <w:ind w:firstLine="480" w:firstLineChars="200"/>
        <w:rPr>
          <w:rFonts w:cs="Times New Roman" w:eastAsiaTheme="minorEastAsia"/>
          <w:sz w:val="24"/>
          <w:szCs w:val="21"/>
        </w:rPr>
      </w:pPr>
      <w:r>
        <w:rPr>
          <w:rFonts w:cs="Times New Roman" w:eastAsiaTheme="minorEastAsia"/>
          <w:sz w:val="24"/>
          <w:szCs w:val="21"/>
        </w:rPr>
        <w:t>2. 防绊跤标识。防止绊跤线标注在其人行横道地面上高差300mm以上的管线或其它障碍物上。</w:t>
      </w:r>
    </w:p>
    <w:p>
      <w:pPr>
        <w:spacing w:after="120"/>
        <w:jc w:val="center"/>
        <w:rPr>
          <w:rFonts w:eastAsia="宋体" w:cs="Times New Roman"/>
        </w:rPr>
      </w:pPr>
      <w:r>
        <w:rPr>
          <w:rFonts w:eastAsia="宋体" w:cs="Times New Roman"/>
          <w:sz w:val="28"/>
          <w:szCs w:val="20"/>
        </w:rPr>
        <w:drawing>
          <wp:inline distT="0" distB="0" distL="0" distR="0">
            <wp:extent cx="2014220" cy="956310"/>
            <wp:effectExtent l="0" t="0" r="5080" b="0"/>
            <wp:docPr id="30891" name="Picture 54" descr="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1" name="Picture 54" descr="image14.png"/>
                    <pic:cNvPicPr>
                      <a:picLocks noChangeAspect="1"/>
                    </pic:cNvPicPr>
                  </pic:nvPicPr>
                  <pic:blipFill>
                    <a:blip r:embed="rId240">
                      <a:extLst>
                        <a:ext uri="{28A0092B-C50C-407E-A947-70E740481C1C}">
                          <a14:useLocalDpi xmlns:a14="http://schemas.microsoft.com/office/drawing/2010/main" val="0"/>
                        </a:ext>
                      </a:extLst>
                    </a:blip>
                    <a:srcRect t="14025" b="17017"/>
                    <a:stretch>
                      <a:fillRect/>
                    </a:stretch>
                  </pic:blipFill>
                  <pic:spPr>
                    <a:xfrm>
                      <a:off x="0" y="0"/>
                      <a:ext cx="2025084" cy="961970"/>
                    </a:xfrm>
                    <a:prstGeom prst="rect">
                      <a:avLst/>
                    </a:prstGeom>
                    <a:noFill/>
                    <a:ln>
                      <a:noFill/>
                    </a:ln>
                    <a:effectLst/>
                  </pic:spPr>
                </pic:pic>
              </a:graphicData>
            </a:graphic>
          </wp:inline>
        </w:drawing>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077720" cy="719455"/>
            <wp:effectExtent l="0" t="0" r="0" b="4445"/>
            <wp:docPr id="30892" name="图片 30892"/>
            <wp:cNvGraphicFramePr/>
            <a:graphic xmlns:a="http://schemas.openxmlformats.org/drawingml/2006/main">
              <a:graphicData uri="http://schemas.openxmlformats.org/drawingml/2006/picture">
                <pic:pic xmlns:pic="http://schemas.openxmlformats.org/drawingml/2006/picture">
                  <pic:nvPicPr>
                    <pic:cNvPr id="30892" name="图片 30892"/>
                    <pic:cNvPicPr/>
                  </pic:nvPicPr>
                  <pic:blipFill>
                    <a:blip r:embed="rId241"/>
                    <a:stretch>
                      <a:fillRect/>
                    </a:stretch>
                  </pic:blipFill>
                  <pic:spPr>
                    <a:xfrm>
                      <a:off x="0" y="0"/>
                      <a:ext cx="2087065" cy="72250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24</w:t>
      </w:r>
      <w:r>
        <w:rPr>
          <w:rFonts w:hint="eastAsia" w:eastAsia="宋体" w:cs="Times New Roman"/>
          <w:sz w:val="21"/>
          <w:szCs w:val="21"/>
        </w:rPr>
        <w:t>防绊跤标识示例</w:t>
      </w:r>
    </w:p>
    <w:p>
      <w:pPr>
        <w:spacing w:after="120"/>
        <w:ind w:firstLine="480" w:firstLineChars="200"/>
        <w:rPr>
          <w:rFonts w:cs="Times New Roman" w:eastAsiaTheme="minorEastAsia"/>
          <w:sz w:val="24"/>
          <w:szCs w:val="21"/>
        </w:rPr>
      </w:pPr>
      <w:r>
        <w:rPr>
          <w:rFonts w:cs="Times New Roman" w:eastAsiaTheme="minorEastAsia"/>
          <w:sz w:val="24"/>
          <w:szCs w:val="21"/>
        </w:rPr>
        <w:t>3.防踏空标识。防止踏空线为楼梯第一个阶梯涂刷黄色，色条宽为150mm。</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015490" cy="1439545"/>
            <wp:effectExtent l="0" t="0" r="3810" b="8255"/>
            <wp:docPr id="30893" name="图片 3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3" name="图片 3089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a:xfrm>
                      <a:off x="0" y="0"/>
                      <a:ext cx="2016000" cy="1440000"/>
                    </a:xfrm>
                    <a:prstGeom prst="rect">
                      <a:avLst/>
                    </a:prstGeom>
                    <a:noFill/>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25</w:t>
      </w:r>
      <w:r>
        <w:rPr>
          <w:rFonts w:hint="eastAsia" w:eastAsia="宋体" w:cs="Times New Roman"/>
          <w:sz w:val="21"/>
          <w:szCs w:val="21"/>
        </w:rPr>
        <w:t>防踏空标识示例</w:t>
      </w:r>
    </w:p>
    <w:p>
      <w:pPr>
        <w:spacing w:after="120"/>
        <w:ind w:firstLine="480" w:firstLineChars="200"/>
        <w:rPr>
          <w:rFonts w:cs="Times New Roman" w:eastAsiaTheme="minorEastAsia"/>
          <w:sz w:val="24"/>
          <w:szCs w:val="21"/>
        </w:rPr>
      </w:pPr>
      <w:r>
        <w:rPr>
          <w:rFonts w:cs="Times New Roman" w:eastAsiaTheme="minorEastAsia"/>
          <w:sz w:val="24"/>
          <w:szCs w:val="21"/>
        </w:rPr>
        <w:t>4.</w:t>
      </w:r>
      <w:bookmarkStart w:id="88" w:name="_Hlk93490345"/>
      <w:r>
        <w:rPr>
          <w:rFonts w:cs="Times New Roman" w:eastAsiaTheme="minorEastAsia"/>
          <w:sz w:val="24"/>
          <w:szCs w:val="21"/>
        </w:rPr>
        <w:t>楼梯防护标识</w:t>
      </w:r>
      <w:bookmarkEnd w:id="88"/>
      <w:r>
        <w:rPr>
          <w:rFonts w:cs="Times New Roman" w:eastAsiaTheme="minorEastAsia"/>
          <w:sz w:val="24"/>
          <w:szCs w:val="21"/>
        </w:rPr>
        <w:t>。楼梯第一个阶梯设置50mm黄色警示线，并张贴警示标识。</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335530" cy="1637030"/>
            <wp:effectExtent l="0" t="0" r="7620" b="1270"/>
            <wp:docPr id="30894" name="图片 30894"/>
            <wp:cNvGraphicFramePr/>
            <a:graphic xmlns:a="http://schemas.openxmlformats.org/drawingml/2006/main">
              <a:graphicData uri="http://schemas.openxmlformats.org/drawingml/2006/picture">
                <pic:pic xmlns:pic="http://schemas.openxmlformats.org/drawingml/2006/picture">
                  <pic:nvPicPr>
                    <pic:cNvPr id="30894" name="图片 30894"/>
                    <pic:cNvPicPr/>
                  </pic:nvPicPr>
                  <pic:blipFill>
                    <a:blip r:embed="rId243"/>
                    <a:stretch>
                      <a:fillRect/>
                    </a:stretch>
                  </pic:blipFill>
                  <pic:spPr>
                    <a:xfrm>
                      <a:off x="0" y="0"/>
                      <a:ext cx="2335530" cy="163703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26</w:t>
      </w:r>
      <w:r>
        <w:rPr>
          <w:rFonts w:hint="eastAsia" w:eastAsia="宋体" w:cs="Times New Roman"/>
          <w:sz w:val="21"/>
          <w:szCs w:val="21"/>
        </w:rPr>
        <w:t>楼梯防护标识示例</w:t>
      </w:r>
    </w:p>
    <w:p>
      <w:pPr>
        <w:spacing w:after="120"/>
        <w:ind w:firstLine="480" w:firstLineChars="200"/>
        <w:rPr>
          <w:rFonts w:cs="Times New Roman" w:eastAsiaTheme="minorEastAsia"/>
          <w:sz w:val="24"/>
          <w:szCs w:val="21"/>
        </w:rPr>
      </w:pPr>
      <w:r>
        <w:rPr>
          <w:rFonts w:cs="Times New Roman" w:eastAsiaTheme="minorEastAsia"/>
          <w:sz w:val="24"/>
          <w:szCs w:val="21"/>
        </w:rPr>
        <w:t>5.配电房挡鼠板标识。配电房出入口挡鼠板高度40cm，在挡鼠板上部设置防绊跤标识。</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145665" cy="1149350"/>
            <wp:effectExtent l="0" t="0" r="6985" b="12700"/>
            <wp:docPr id="30895" name="Picture 3" descr="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5" name="Picture 3" descr="image15.png"/>
                    <pic:cNvPicPr>
                      <a:picLocks noChangeAspect="1"/>
                    </pic:cNvPicPr>
                  </pic:nvPicPr>
                  <pic:blipFill>
                    <a:blip r:embed="rId244">
                      <a:extLst>
                        <a:ext uri="{28A0092B-C50C-407E-A947-70E740481C1C}">
                          <a14:useLocalDpi xmlns:a14="http://schemas.microsoft.com/office/drawing/2010/main" val="0"/>
                        </a:ext>
                      </a:extLst>
                    </a:blip>
                    <a:srcRect t="35315"/>
                    <a:stretch>
                      <a:fillRect/>
                    </a:stretch>
                  </pic:blipFill>
                  <pic:spPr>
                    <a:xfrm>
                      <a:off x="0" y="0"/>
                      <a:ext cx="2145665" cy="1149350"/>
                    </a:xfrm>
                    <a:prstGeom prst="rect">
                      <a:avLst/>
                    </a:prstGeom>
                    <a:noFill/>
                    <a:ln>
                      <a:noFill/>
                    </a:ln>
                    <a:effectLst/>
                  </pic:spPr>
                </pic:pic>
              </a:graphicData>
            </a:graphic>
          </wp:inline>
        </w:drawing>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101215" cy="463550"/>
            <wp:effectExtent l="0" t="0" r="13335" b="12700"/>
            <wp:docPr id="30896" name="图片 30896"/>
            <wp:cNvGraphicFramePr/>
            <a:graphic xmlns:a="http://schemas.openxmlformats.org/drawingml/2006/main">
              <a:graphicData uri="http://schemas.openxmlformats.org/drawingml/2006/picture">
                <pic:pic xmlns:pic="http://schemas.openxmlformats.org/drawingml/2006/picture">
                  <pic:nvPicPr>
                    <pic:cNvPr id="30896" name="图片 30896"/>
                    <pic:cNvPicPr/>
                  </pic:nvPicPr>
                  <pic:blipFill>
                    <a:blip r:embed="rId245"/>
                    <a:stretch>
                      <a:fillRect/>
                    </a:stretch>
                  </pic:blipFill>
                  <pic:spPr>
                    <a:xfrm>
                      <a:off x="0" y="0"/>
                      <a:ext cx="2101215" cy="463550"/>
                    </a:xfrm>
                    <a:prstGeom prst="rect">
                      <a:avLst/>
                    </a:prstGeom>
                  </pic:spPr>
                </pic:pic>
              </a:graphicData>
            </a:graphic>
          </wp:inline>
        </w:drawing>
      </w:r>
    </w:p>
    <w:p>
      <w:pPr>
        <w:spacing w:line="360" w:lineRule="auto"/>
        <w:jc w:val="center"/>
        <w:rPr>
          <w:rFonts w:cs="Times New Roman" w:eastAsiaTheme="minorEastAsia"/>
          <w:sz w:val="24"/>
          <w:szCs w:val="21"/>
        </w:rPr>
      </w:pPr>
      <w:r>
        <w:rPr>
          <w:rFonts w:hint="eastAsia" w:eastAsia="宋体" w:cs="Times New Roman"/>
          <w:sz w:val="21"/>
          <w:szCs w:val="21"/>
        </w:rPr>
        <w:t>图14.5-</w:t>
      </w:r>
      <w:r>
        <w:rPr>
          <w:rFonts w:eastAsia="宋体" w:cs="Times New Roman"/>
          <w:sz w:val="21"/>
          <w:szCs w:val="21"/>
        </w:rPr>
        <w:t>27</w:t>
      </w:r>
      <w:r>
        <w:rPr>
          <w:rFonts w:hint="eastAsia" w:eastAsia="宋体" w:cs="Times New Roman"/>
          <w:sz w:val="21"/>
          <w:szCs w:val="21"/>
        </w:rPr>
        <w:t>配电房挡鼠板示例</w:t>
      </w:r>
    </w:p>
    <w:p>
      <w:pPr>
        <w:spacing w:after="120"/>
        <w:ind w:firstLine="480" w:firstLineChars="200"/>
        <w:rPr>
          <w:rFonts w:cs="Times New Roman" w:eastAsiaTheme="minorEastAsia"/>
          <w:sz w:val="24"/>
          <w:szCs w:val="21"/>
        </w:rPr>
      </w:pPr>
      <w:r>
        <w:rPr>
          <w:rFonts w:cs="Times New Roman" w:eastAsiaTheme="minorEastAsia"/>
          <w:sz w:val="24"/>
          <w:szCs w:val="21"/>
        </w:rPr>
        <w:t>6. 进车间安全标识。车间大门口（外）张贴进车间安全警示标识。</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110740" cy="1482090"/>
            <wp:effectExtent l="0" t="0" r="3810" b="3810"/>
            <wp:docPr id="30897" name="图片 30897"/>
            <wp:cNvGraphicFramePr/>
            <a:graphic xmlns:a="http://schemas.openxmlformats.org/drawingml/2006/main">
              <a:graphicData uri="http://schemas.openxmlformats.org/drawingml/2006/picture">
                <pic:pic xmlns:pic="http://schemas.openxmlformats.org/drawingml/2006/picture">
                  <pic:nvPicPr>
                    <pic:cNvPr id="30897" name="图片 30897"/>
                    <pic:cNvPicPr/>
                  </pic:nvPicPr>
                  <pic:blipFill>
                    <a:blip r:embed="rId246"/>
                    <a:stretch>
                      <a:fillRect/>
                    </a:stretch>
                  </pic:blipFill>
                  <pic:spPr>
                    <a:xfrm>
                      <a:off x="0" y="0"/>
                      <a:ext cx="2110740" cy="1482090"/>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28</w:t>
      </w:r>
      <w:r>
        <w:rPr>
          <w:rFonts w:hint="eastAsia" w:eastAsia="宋体" w:cs="Times New Roman"/>
          <w:sz w:val="21"/>
          <w:szCs w:val="21"/>
        </w:rPr>
        <w:t>进车间安全标识示例</w:t>
      </w:r>
    </w:p>
    <w:p>
      <w:pPr>
        <w:spacing w:after="120"/>
        <w:ind w:firstLine="480" w:firstLineChars="200"/>
        <w:rPr>
          <w:rFonts w:cs="Times New Roman" w:eastAsiaTheme="minorEastAsia"/>
          <w:sz w:val="24"/>
          <w:szCs w:val="21"/>
        </w:rPr>
      </w:pPr>
      <w:r>
        <w:rPr>
          <w:rFonts w:cs="Times New Roman" w:eastAsiaTheme="minorEastAsia"/>
          <w:sz w:val="24"/>
          <w:szCs w:val="21"/>
        </w:rPr>
        <w:t>7. 办公室、仓库、车间、各控制室等的</w:t>
      </w:r>
      <w:bookmarkStart w:id="89" w:name="_Hlk93490530"/>
      <w:r>
        <w:rPr>
          <w:rFonts w:cs="Times New Roman" w:eastAsiaTheme="minorEastAsia"/>
          <w:sz w:val="24"/>
          <w:szCs w:val="21"/>
        </w:rPr>
        <w:t>轨迹线</w:t>
      </w:r>
      <w:bookmarkEnd w:id="89"/>
      <w:r>
        <w:rPr>
          <w:rFonts w:cs="Times New Roman" w:eastAsiaTheme="minorEastAsia"/>
          <w:sz w:val="24"/>
          <w:szCs w:val="21"/>
        </w:rPr>
        <w:t>。通过标识门开时的旋转轨迹以保证门开关顺畅，明确门开关的范围。</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148840" cy="1534795"/>
            <wp:effectExtent l="0" t="0" r="3810" b="8255"/>
            <wp:docPr id="308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8" name="Picture 4"/>
                    <pic:cNvPicPr>
                      <a:picLocks noChangeAspect="1" noChangeArrowheads="1"/>
                    </pic:cNvPicPr>
                  </pic:nvPicPr>
                  <pic:blipFill>
                    <a:blip r:embed="rId247">
                      <a:extLst>
                        <a:ext uri="{28A0092B-C50C-407E-A947-70E740481C1C}">
                          <a14:useLocalDpi xmlns:a14="http://schemas.microsoft.com/office/drawing/2010/main" val="0"/>
                        </a:ext>
                      </a:extLst>
                    </a:blip>
                    <a:srcRect r="7027" b="16495"/>
                    <a:stretch>
                      <a:fillRect/>
                    </a:stretch>
                  </pic:blipFill>
                  <pic:spPr>
                    <a:xfrm>
                      <a:off x="0" y="0"/>
                      <a:ext cx="2148840" cy="1534795"/>
                    </a:xfrm>
                    <a:prstGeom prst="rect">
                      <a:avLst/>
                    </a:prstGeom>
                  </pic:spPr>
                </pic:pic>
              </a:graphicData>
            </a:graphic>
          </wp:inline>
        </w:drawing>
      </w:r>
    </w:p>
    <w:p>
      <w:pPr>
        <w:spacing w:line="360" w:lineRule="auto"/>
        <w:jc w:val="center"/>
        <w:rPr>
          <w:rFonts w:eastAsia="宋体" w:cs="Times New Roman"/>
          <w:sz w:val="21"/>
          <w:szCs w:val="21"/>
        </w:rPr>
      </w:pPr>
      <w:r>
        <w:rPr>
          <w:rFonts w:hint="eastAsia" w:eastAsia="宋体" w:cs="Times New Roman"/>
          <w:sz w:val="21"/>
          <w:szCs w:val="21"/>
        </w:rPr>
        <w:t>图14.5-</w:t>
      </w:r>
      <w:r>
        <w:rPr>
          <w:rFonts w:eastAsia="宋体" w:cs="Times New Roman"/>
          <w:sz w:val="21"/>
          <w:szCs w:val="21"/>
        </w:rPr>
        <w:t>29</w:t>
      </w:r>
      <w:r>
        <w:rPr>
          <w:rFonts w:hint="eastAsia" w:eastAsia="宋体" w:cs="Times New Roman"/>
          <w:sz w:val="21"/>
          <w:szCs w:val="21"/>
        </w:rPr>
        <w:t>进轨迹线标识示例</w:t>
      </w:r>
    </w:p>
    <w:p>
      <w:pPr>
        <w:spacing w:line="360" w:lineRule="auto"/>
        <w:ind w:firstLine="480" w:firstLineChars="200"/>
        <w:rPr>
          <w:rFonts w:eastAsia="宋体" w:cs="Times New Roman"/>
          <w:sz w:val="24"/>
          <w:szCs w:val="21"/>
        </w:rPr>
      </w:pPr>
      <w:r>
        <w:rPr>
          <w:rFonts w:eastAsia="宋体" w:cs="Times New Roman"/>
          <w:sz w:val="24"/>
          <w:szCs w:val="21"/>
        </w:rPr>
        <w:t>8. 配电箱门设置“当心触电”警示标识。</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015490" cy="1439545"/>
            <wp:effectExtent l="0" t="0" r="3810" b="8255"/>
            <wp:docPr id="30899" name="图片 30899"/>
            <wp:cNvGraphicFramePr/>
            <a:graphic xmlns:a="http://schemas.openxmlformats.org/drawingml/2006/main">
              <a:graphicData uri="http://schemas.openxmlformats.org/drawingml/2006/picture">
                <pic:pic xmlns:pic="http://schemas.openxmlformats.org/drawingml/2006/picture">
                  <pic:nvPicPr>
                    <pic:cNvPr id="30899" name="图片 30899"/>
                    <pic:cNvPicPr/>
                  </pic:nvPicPr>
                  <pic:blipFill>
                    <a:blip r:embed="rId248"/>
                    <a:stretch>
                      <a:fillRect/>
                    </a:stretch>
                  </pic:blipFill>
                  <pic:spPr>
                    <a:xfrm>
                      <a:off x="0" y="0"/>
                      <a:ext cx="2016000" cy="1440000"/>
                    </a:xfrm>
                    <a:prstGeom prst="rect">
                      <a:avLst/>
                    </a:prstGeom>
                  </pic:spPr>
                </pic:pic>
              </a:graphicData>
            </a:graphic>
          </wp:inline>
        </w:drawing>
      </w:r>
    </w:p>
    <w:p>
      <w:pPr>
        <w:pStyle w:val="2"/>
        <w:jc w:val="center"/>
        <w:rPr>
          <w:sz w:val="21"/>
          <w:szCs w:val="21"/>
        </w:rPr>
      </w:pPr>
      <w:r>
        <w:rPr>
          <w:rFonts w:hint="eastAsia"/>
          <w:sz w:val="21"/>
          <w:szCs w:val="21"/>
        </w:rPr>
        <w:t>图14.5-</w:t>
      </w:r>
      <w:r>
        <w:rPr>
          <w:sz w:val="21"/>
          <w:szCs w:val="21"/>
        </w:rPr>
        <w:t>30</w:t>
      </w:r>
      <w:r>
        <w:rPr>
          <w:rFonts w:hint="eastAsia"/>
          <w:sz w:val="21"/>
          <w:szCs w:val="21"/>
        </w:rPr>
        <w:t>配电箱标识示例</w:t>
      </w:r>
    </w:p>
    <w:p>
      <w:pPr>
        <w:spacing w:after="120"/>
        <w:ind w:firstLine="480" w:firstLineChars="200"/>
        <w:rPr>
          <w:rFonts w:cs="Times New Roman" w:eastAsiaTheme="minorEastAsia"/>
          <w:sz w:val="24"/>
          <w:szCs w:val="21"/>
        </w:rPr>
      </w:pPr>
      <w:r>
        <w:rPr>
          <w:rFonts w:cs="Times New Roman" w:eastAsiaTheme="minorEastAsia"/>
          <w:sz w:val="24"/>
          <w:szCs w:val="21"/>
        </w:rPr>
        <w:t>9.压力表设置安全标签。压力表标识方法：正常范围贴附绿色荧光胶带；需要采取对策的指针最大值/最小值用红色荧光纸贴示，根据情况也可把胶带贴在玻璃外面（可淘宝）</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2013585" cy="2062480"/>
            <wp:effectExtent l="0" t="0" r="5715" b="0"/>
            <wp:docPr id="30900" name="Picture 51" descr="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0" name="Picture 51" descr="image32.png"/>
                    <pic:cNvPicPr>
                      <a:picLocks noChangeAspect="1"/>
                    </pic:cNvPicPr>
                  </pic:nvPicPr>
                  <pic:blipFill>
                    <a:blip r:embed="rId249">
                      <a:extLst>
                        <a:ext uri="{28A0092B-C50C-407E-A947-70E740481C1C}">
                          <a14:useLocalDpi xmlns:a14="http://schemas.microsoft.com/office/drawing/2010/main" val="0"/>
                        </a:ext>
                      </a:extLst>
                    </a:blip>
                    <a:srcRect t="16440"/>
                    <a:stretch>
                      <a:fillRect/>
                    </a:stretch>
                  </pic:blipFill>
                  <pic:spPr>
                    <a:xfrm>
                      <a:off x="0" y="0"/>
                      <a:ext cx="2057035" cy="2106586"/>
                    </a:xfrm>
                    <a:prstGeom prst="rect">
                      <a:avLst/>
                    </a:prstGeom>
                    <a:noFill/>
                    <a:ln>
                      <a:noFill/>
                    </a:ln>
                    <a:effectLst/>
                  </pic:spPr>
                </pic:pic>
              </a:graphicData>
            </a:graphic>
          </wp:inline>
        </w:drawing>
      </w:r>
    </w:p>
    <w:p>
      <w:pPr>
        <w:pStyle w:val="2"/>
        <w:jc w:val="center"/>
      </w:pPr>
      <w:r>
        <w:rPr>
          <w:rFonts w:hint="eastAsia"/>
          <w:sz w:val="21"/>
          <w:szCs w:val="21"/>
        </w:rPr>
        <w:t>图14.5-</w:t>
      </w:r>
      <w:r>
        <w:rPr>
          <w:sz w:val="21"/>
          <w:szCs w:val="21"/>
        </w:rPr>
        <w:t>31</w:t>
      </w:r>
      <w:r>
        <w:rPr>
          <w:rFonts w:hint="eastAsia"/>
          <w:sz w:val="21"/>
          <w:szCs w:val="21"/>
        </w:rPr>
        <w:t>压力表安全标签示例</w:t>
      </w:r>
    </w:p>
    <w:p>
      <w:pPr>
        <w:spacing w:line="360" w:lineRule="auto"/>
        <w:ind w:firstLine="480" w:firstLineChars="200"/>
        <w:rPr>
          <w:rFonts w:eastAsia="宋体" w:cs="Times New Roman"/>
          <w:sz w:val="24"/>
          <w:szCs w:val="21"/>
        </w:rPr>
      </w:pPr>
      <w:r>
        <w:rPr>
          <w:rFonts w:eastAsia="宋体" w:cs="Times New Roman"/>
          <w:sz w:val="24"/>
          <w:szCs w:val="21"/>
        </w:rPr>
        <w:t>10. 灭火器、消防栓、消防按钮张贴使用方法。</w:t>
      </w:r>
    </w:p>
    <w:p>
      <w:pPr>
        <w:spacing w:line="360" w:lineRule="auto"/>
        <w:ind w:firstLine="480" w:firstLineChars="200"/>
        <w:rPr>
          <w:rFonts w:eastAsia="宋体" w:cs="Times New Roman"/>
          <w:sz w:val="24"/>
          <w:szCs w:val="21"/>
        </w:rPr>
      </w:pPr>
      <w:r>
        <w:rPr>
          <w:rFonts w:eastAsia="宋体" w:cs="Times New Roman"/>
          <w:sz w:val="24"/>
          <w:szCs w:val="21"/>
        </w:rPr>
        <w:drawing>
          <wp:inline distT="0" distB="0" distL="0" distR="0">
            <wp:extent cx="946150" cy="857885"/>
            <wp:effectExtent l="0" t="0" r="6350" b="0"/>
            <wp:docPr id="30901" name="图片 3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1" name="图片 30901"/>
                    <pic:cNvPicPr>
                      <a:picLocks noChangeAspect="1"/>
                    </pic:cNvPicPr>
                  </pic:nvPicPr>
                  <pic:blipFill>
                    <a:blip r:embed="rId250"/>
                    <a:stretch>
                      <a:fillRect/>
                    </a:stretch>
                  </pic:blipFill>
                  <pic:spPr>
                    <a:xfrm>
                      <a:off x="0" y="0"/>
                      <a:ext cx="950096" cy="861302"/>
                    </a:xfrm>
                    <a:prstGeom prst="rect">
                      <a:avLst/>
                    </a:prstGeom>
                  </pic:spPr>
                </pic:pic>
              </a:graphicData>
            </a:graphic>
          </wp:inline>
        </w:drawing>
      </w:r>
      <w:r>
        <w:rPr>
          <w:rFonts w:eastAsia="宋体" w:cs="Times New Roman"/>
          <w:sz w:val="24"/>
          <w:szCs w:val="21"/>
        </w:rPr>
        <w:t xml:space="preserve"> </w:t>
      </w:r>
      <w:r>
        <w:rPr>
          <w:rFonts w:eastAsia="宋体" w:cs="Times New Roman"/>
          <w:sz w:val="24"/>
          <w:szCs w:val="21"/>
        </w:rPr>
        <w:drawing>
          <wp:inline distT="0" distB="0" distL="0" distR="0">
            <wp:extent cx="1377315" cy="848995"/>
            <wp:effectExtent l="0" t="0" r="0" b="8255"/>
            <wp:docPr id="30902" name="图片 3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2" name="图片 30902"/>
                    <pic:cNvPicPr>
                      <a:picLocks noChangeAspect="1"/>
                    </pic:cNvPicPr>
                  </pic:nvPicPr>
                  <pic:blipFill>
                    <a:blip r:embed="rId251"/>
                    <a:stretch>
                      <a:fillRect/>
                    </a:stretch>
                  </pic:blipFill>
                  <pic:spPr>
                    <a:xfrm>
                      <a:off x="0" y="0"/>
                      <a:ext cx="1395769" cy="860724"/>
                    </a:xfrm>
                    <a:prstGeom prst="rect">
                      <a:avLst/>
                    </a:prstGeom>
                  </pic:spPr>
                </pic:pic>
              </a:graphicData>
            </a:graphic>
          </wp:inline>
        </w:drawing>
      </w:r>
      <w:r>
        <w:rPr>
          <w:rFonts w:eastAsia="宋体" w:cs="Times New Roman"/>
          <w:sz w:val="24"/>
          <w:szCs w:val="21"/>
        </w:rPr>
        <w:t xml:space="preserve"> </w:t>
      </w:r>
      <w:r>
        <w:rPr>
          <w:rFonts w:eastAsia="宋体" w:cs="Times New Roman"/>
          <w:sz w:val="24"/>
          <w:szCs w:val="21"/>
        </w:rPr>
        <w:drawing>
          <wp:inline distT="0" distB="0" distL="0" distR="0">
            <wp:extent cx="889635" cy="854710"/>
            <wp:effectExtent l="0" t="0" r="5715" b="2540"/>
            <wp:docPr id="30903" name="图片 3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3" name="图片 30903"/>
                    <pic:cNvPicPr>
                      <a:picLocks noChangeAspect="1"/>
                    </pic:cNvPicPr>
                  </pic:nvPicPr>
                  <pic:blipFill>
                    <a:blip r:embed="rId252"/>
                    <a:stretch>
                      <a:fillRect/>
                    </a:stretch>
                  </pic:blipFill>
                  <pic:spPr>
                    <a:xfrm>
                      <a:off x="0" y="0"/>
                      <a:ext cx="894275" cy="859432"/>
                    </a:xfrm>
                    <a:prstGeom prst="rect">
                      <a:avLst/>
                    </a:prstGeom>
                  </pic:spPr>
                </pic:pic>
              </a:graphicData>
            </a:graphic>
          </wp:inline>
        </w:drawing>
      </w:r>
    </w:p>
    <w:p>
      <w:pPr>
        <w:pStyle w:val="2"/>
        <w:jc w:val="center"/>
        <w:rPr>
          <w:sz w:val="21"/>
          <w:szCs w:val="21"/>
        </w:rPr>
      </w:pPr>
      <w:r>
        <w:rPr>
          <w:rFonts w:hint="eastAsia"/>
          <w:sz w:val="21"/>
          <w:szCs w:val="21"/>
        </w:rPr>
        <w:t>图14.5-</w:t>
      </w:r>
      <w:r>
        <w:rPr>
          <w:sz w:val="21"/>
          <w:szCs w:val="21"/>
        </w:rPr>
        <w:t>32</w:t>
      </w:r>
      <w:r>
        <w:rPr>
          <w:rFonts w:hint="eastAsia"/>
          <w:sz w:val="21"/>
          <w:szCs w:val="21"/>
        </w:rPr>
        <w:t>灭火器、消防栓、消防按钮示例</w:t>
      </w:r>
    </w:p>
    <w:p>
      <w:pPr>
        <w:spacing w:after="120"/>
        <w:ind w:firstLine="480" w:firstLineChars="200"/>
        <w:rPr>
          <w:rFonts w:cs="Times New Roman" w:eastAsiaTheme="minorEastAsia"/>
          <w:sz w:val="24"/>
          <w:szCs w:val="21"/>
        </w:rPr>
      </w:pPr>
      <w:r>
        <w:rPr>
          <w:rFonts w:cs="Times New Roman" w:eastAsiaTheme="minorEastAsia"/>
          <w:sz w:val="24"/>
          <w:szCs w:val="21"/>
        </w:rPr>
        <w:t>11. 危险化学品包装（包括外包装件）上粘贴或者拴挂在包装内或生产使用场所醒目位置张贴SDS。</w:t>
      </w:r>
    </w:p>
    <w:p>
      <w:pPr>
        <w:spacing w:line="360" w:lineRule="auto"/>
        <w:ind w:firstLine="480" w:firstLineChars="200"/>
        <w:jc w:val="center"/>
        <w:rPr>
          <w:rFonts w:eastAsia="宋体" w:cs="Times New Roman"/>
          <w:sz w:val="24"/>
          <w:szCs w:val="21"/>
        </w:rPr>
      </w:pPr>
      <w:r>
        <w:rPr>
          <w:rFonts w:eastAsia="宋体" w:cs="Times New Roman"/>
          <w:sz w:val="24"/>
          <w:szCs w:val="21"/>
        </w:rPr>
        <w:drawing>
          <wp:inline distT="0" distB="0" distL="0" distR="0">
            <wp:extent cx="1619885" cy="2303780"/>
            <wp:effectExtent l="0" t="0" r="0" b="1270"/>
            <wp:docPr id="30904" name="图片 30904"/>
            <wp:cNvGraphicFramePr/>
            <a:graphic xmlns:a="http://schemas.openxmlformats.org/drawingml/2006/main">
              <a:graphicData uri="http://schemas.openxmlformats.org/drawingml/2006/picture">
                <pic:pic xmlns:pic="http://schemas.openxmlformats.org/drawingml/2006/picture">
                  <pic:nvPicPr>
                    <pic:cNvPr id="30904" name="图片 30904"/>
                    <pic:cNvPicPr/>
                  </pic:nvPicPr>
                  <pic:blipFill>
                    <a:blip r:embed="rId253"/>
                    <a:stretch>
                      <a:fillRect/>
                    </a:stretch>
                  </pic:blipFill>
                  <pic:spPr>
                    <a:xfrm>
                      <a:off x="0" y="0"/>
                      <a:ext cx="1620000" cy="2304000"/>
                    </a:xfrm>
                    <a:prstGeom prst="rect">
                      <a:avLst/>
                    </a:prstGeom>
                  </pic:spPr>
                </pic:pic>
              </a:graphicData>
            </a:graphic>
          </wp:inline>
        </w:drawing>
      </w:r>
    </w:p>
    <w:p>
      <w:pPr>
        <w:pStyle w:val="2"/>
        <w:jc w:val="center"/>
        <w:rPr>
          <w:sz w:val="21"/>
          <w:szCs w:val="21"/>
        </w:rPr>
      </w:pPr>
      <w:r>
        <w:rPr>
          <w:rFonts w:hint="eastAsia"/>
          <w:sz w:val="21"/>
          <w:szCs w:val="21"/>
        </w:rPr>
        <w:t>图14.5-</w:t>
      </w:r>
      <w:r>
        <w:rPr>
          <w:sz w:val="21"/>
          <w:szCs w:val="21"/>
        </w:rPr>
        <w:t>33</w:t>
      </w:r>
      <w:r>
        <w:rPr>
          <w:rFonts w:hint="eastAsia"/>
          <w:sz w:val="21"/>
          <w:szCs w:val="21"/>
        </w:rPr>
        <w:t>化学品M</w:t>
      </w:r>
      <w:r>
        <w:rPr>
          <w:sz w:val="21"/>
          <w:szCs w:val="21"/>
        </w:rPr>
        <w:t>SDS</w:t>
      </w:r>
      <w:r>
        <w:rPr>
          <w:rFonts w:hint="eastAsia"/>
          <w:sz w:val="21"/>
          <w:szCs w:val="21"/>
        </w:rPr>
        <w:t>示例</w:t>
      </w:r>
    </w:p>
    <w:p>
      <w:pPr>
        <w:spacing w:line="360" w:lineRule="auto"/>
        <w:ind w:firstLine="480" w:firstLineChars="200"/>
        <w:rPr>
          <w:rFonts w:eastAsia="宋体" w:cs="Times New Roman"/>
          <w:sz w:val="24"/>
          <w:szCs w:val="21"/>
        </w:rPr>
      </w:pPr>
    </w:p>
    <w:p>
      <w:pPr>
        <w:spacing w:after="120"/>
        <w:ind w:firstLine="480" w:firstLineChars="200"/>
        <w:rPr>
          <w:rFonts w:eastAsia="宋体" w:cs="Times New Roman"/>
          <w:sz w:val="24"/>
          <w:szCs w:val="21"/>
        </w:rPr>
      </w:pPr>
      <w:r>
        <w:rPr>
          <w:rFonts w:cs="Times New Roman" w:eastAsiaTheme="minorEastAsia"/>
          <w:sz w:val="24"/>
          <w:szCs w:val="21"/>
        </w:rPr>
        <w:t>12. 危化品分装桶、瓶（侧身）箱装包装则贴在包装断面或侧面明显处、袋装货捆绑的贴在外侧明显位置张贴或悬挂GHS化学品标签。</w:t>
      </w:r>
    </w:p>
    <w:p>
      <w:pPr>
        <w:pStyle w:val="2"/>
        <w:jc w:val="center"/>
        <w:rPr>
          <w:sz w:val="21"/>
          <w:szCs w:val="21"/>
        </w:rPr>
      </w:pPr>
      <w:r>
        <w:rPr>
          <w:rFonts w:hint="eastAsia"/>
          <w:sz w:val="21"/>
          <w:szCs w:val="21"/>
        </w:rPr>
        <w:t>图14.5-</w:t>
      </w:r>
      <w:r>
        <w:rPr>
          <w:sz w:val="21"/>
          <w:szCs w:val="21"/>
        </w:rPr>
        <w:t>34</w:t>
      </w:r>
      <w:r>
        <w:rPr>
          <w:rFonts w:hint="eastAsia"/>
          <w:sz w:val="21"/>
          <w:szCs w:val="21"/>
        </w:rPr>
        <w:t>化学品安全标签示例</w:t>
      </w:r>
    </w:p>
    <w:p>
      <w:pPr>
        <w:spacing w:after="120"/>
        <w:ind w:firstLine="640" w:firstLineChars="200"/>
        <w:rPr>
          <w:rFonts w:cs="Times New Roman" w:eastAsiaTheme="minorEastAsia"/>
          <w:sz w:val="24"/>
          <w:szCs w:val="21"/>
        </w:rPr>
      </w:pPr>
      <w:r>
        <w:drawing>
          <wp:inline distT="0" distB="0" distL="0" distR="0">
            <wp:extent cx="2739390" cy="4326890"/>
            <wp:effectExtent l="0" t="0" r="381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254"/>
                    <a:stretch>
                      <a:fillRect/>
                    </a:stretch>
                  </pic:blipFill>
                  <pic:spPr>
                    <a:xfrm>
                      <a:off x="0" y="0"/>
                      <a:ext cx="2740091" cy="4328131"/>
                    </a:xfrm>
                    <a:prstGeom prst="rect">
                      <a:avLst/>
                    </a:prstGeom>
                  </pic:spPr>
                </pic:pic>
              </a:graphicData>
            </a:graphic>
          </wp:inline>
        </w:drawing>
      </w:r>
    </w:p>
    <w:p>
      <w:pPr>
        <w:spacing w:after="120"/>
        <w:rPr>
          <w:rFonts w:cs="Times New Roman" w:eastAsiaTheme="minorEastAsia"/>
          <w:sz w:val="24"/>
          <w:szCs w:val="21"/>
        </w:rPr>
      </w:pPr>
    </w:p>
    <w:p>
      <w:pPr>
        <w:spacing w:after="120"/>
        <w:ind w:firstLine="480" w:firstLineChars="200"/>
        <w:rPr>
          <w:rFonts w:cs="Times New Roman" w:eastAsiaTheme="minorEastAsia"/>
          <w:sz w:val="24"/>
          <w:szCs w:val="21"/>
        </w:rPr>
      </w:pPr>
      <w:r>
        <w:rPr>
          <w:rFonts w:cs="Times New Roman" w:eastAsiaTheme="minorEastAsia"/>
          <w:sz w:val="24"/>
          <w:szCs w:val="21"/>
        </w:rPr>
        <w:t>13. 危险品生产岗位、作业场所及仓储区域显著位置设置危化品周知卡。</w:t>
      </w:r>
    </w:p>
    <w:p>
      <w:pPr>
        <w:spacing w:after="120"/>
        <w:jc w:val="center"/>
        <w:rPr>
          <w:rFonts w:eastAsia="宋体" w:cs="Times New Roman"/>
        </w:rPr>
      </w:pPr>
      <w:r>
        <w:rPr>
          <w:rFonts w:eastAsia="宋体" w:cs="Times New Roman"/>
          <w:sz w:val="28"/>
          <w:szCs w:val="20"/>
        </w:rPr>
        <w:drawing>
          <wp:inline distT="0" distB="0" distL="0" distR="0">
            <wp:extent cx="2261870" cy="3188970"/>
            <wp:effectExtent l="0" t="0" r="5080" b="0"/>
            <wp:docPr id="30906" name="图片 30906"/>
            <wp:cNvGraphicFramePr/>
            <a:graphic xmlns:a="http://schemas.openxmlformats.org/drawingml/2006/main">
              <a:graphicData uri="http://schemas.openxmlformats.org/drawingml/2006/picture">
                <pic:pic xmlns:pic="http://schemas.openxmlformats.org/drawingml/2006/picture">
                  <pic:nvPicPr>
                    <pic:cNvPr id="30906" name="图片 30906"/>
                    <pic:cNvPicPr/>
                  </pic:nvPicPr>
                  <pic:blipFill>
                    <a:blip r:embed="rId255"/>
                    <a:stretch>
                      <a:fillRect/>
                    </a:stretch>
                  </pic:blipFill>
                  <pic:spPr>
                    <a:xfrm>
                      <a:off x="0" y="0"/>
                      <a:ext cx="2262516" cy="3189881"/>
                    </a:xfrm>
                    <a:prstGeom prst="rect">
                      <a:avLst/>
                    </a:prstGeom>
                  </pic:spPr>
                </pic:pic>
              </a:graphicData>
            </a:graphic>
          </wp:inline>
        </w:drawing>
      </w:r>
    </w:p>
    <w:p>
      <w:pPr>
        <w:pStyle w:val="2"/>
        <w:jc w:val="center"/>
        <w:rPr>
          <w:sz w:val="21"/>
          <w:szCs w:val="21"/>
        </w:rPr>
      </w:pPr>
      <w:r>
        <w:rPr>
          <w:rFonts w:hint="eastAsia"/>
          <w:sz w:val="21"/>
          <w:szCs w:val="21"/>
        </w:rPr>
        <w:t>图14.5-</w:t>
      </w:r>
      <w:r>
        <w:rPr>
          <w:sz w:val="21"/>
          <w:szCs w:val="21"/>
        </w:rPr>
        <w:t>35</w:t>
      </w:r>
      <w:r>
        <w:rPr>
          <w:rFonts w:hint="eastAsia"/>
          <w:sz w:val="21"/>
          <w:szCs w:val="21"/>
        </w:rPr>
        <w:t>化学品安全周知卡示例</w:t>
      </w:r>
    </w:p>
    <w:p>
      <w:pPr>
        <w:pStyle w:val="2"/>
        <w:sectPr>
          <w:pgSz w:w="8391" w:h="11906"/>
          <w:pgMar w:top="1418" w:right="1134" w:bottom="1077" w:left="1134" w:header="851" w:footer="992" w:gutter="0"/>
          <w:cols w:space="425" w:num="1"/>
          <w:docGrid w:type="lines" w:linePitch="435" w:charSpace="0"/>
        </w:sectPr>
      </w:pPr>
    </w:p>
    <w:p>
      <w:pPr>
        <w:spacing w:line="360" w:lineRule="auto"/>
        <w:ind w:firstLine="482" w:firstLineChars="200"/>
        <w:outlineLvl w:val="1"/>
        <w:rPr>
          <w:rFonts w:eastAsia="宋体" w:cs="Times New Roman"/>
          <w:b/>
          <w:sz w:val="24"/>
          <w:szCs w:val="21"/>
        </w:rPr>
      </w:pPr>
      <w:r>
        <w:rPr>
          <w:rFonts w:eastAsia="宋体" w:cs="Times New Roman"/>
          <w:b/>
          <w:sz w:val="24"/>
          <w:szCs w:val="21"/>
        </w:rPr>
        <w:t>六、安全通用标识大全</w:t>
      </w:r>
    </w:p>
    <w:p>
      <w:pPr>
        <w:spacing w:line="360" w:lineRule="auto"/>
        <w:ind w:firstLine="480" w:firstLineChars="200"/>
        <w:rPr>
          <w:rFonts w:eastAsia="宋体" w:cs="Times New Roman"/>
          <w:sz w:val="24"/>
          <w:szCs w:val="21"/>
        </w:rPr>
      </w:pPr>
      <w:r>
        <w:rPr>
          <w:rFonts w:eastAsia="宋体" w:cs="Times New Roman"/>
          <w:sz w:val="24"/>
          <w:szCs w:val="21"/>
        </w:rPr>
        <w:t>（一）禁止标志</w:t>
      </w:r>
    </w:p>
    <w:p>
      <w:pPr>
        <w:pStyle w:val="2"/>
        <w:jc w:val="center"/>
        <w:rPr>
          <w:sz w:val="21"/>
          <w:szCs w:val="21"/>
        </w:rPr>
      </w:pPr>
      <w:r>
        <w:rPr>
          <w:rFonts w:hint="eastAsia"/>
          <w:sz w:val="21"/>
          <w:szCs w:val="21"/>
        </w:rPr>
        <w:t>表1</w:t>
      </w:r>
      <w:r>
        <w:rPr>
          <w:sz w:val="21"/>
          <w:szCs w:val="21"/>
        </w:rPr>
        <w:t>4.6</w:t>
      </w:r>
      <w:r>
        <w:rPr>
          <w:rFonts w:hint="eastAsia"/>
          <w:sz w:val="21"/>
          <w:szCs w:val="21"/>
        </w:rPr>
        <w:t>-</w:t>
      </w:r>
      <w:r>
        <w:rPr>
          <w:sz w:val="21"/>
          <w:szCs w:val="21"/>
        </w:rPr>
        <w:t>1</w:t>
      </w:r>
      <w:r>
        <w:rPr>
          <w:rFonts w:hint="eastAsia"/>
          <w:sz w:val="21"/>
          <w:szCs w:val="21"/>
        </w:rPr>
        <w:t>禁止标志示例</w:t>
      </w:r>
    </w:p>
    <w:tbl>
      <w:tblPr>
        <w:tblStyle w:val="35"/>
        <w:tblW w:w="4976"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0"/>
        <w:gridCol w:w="2031"/>
        <w:gridCol w:w="288"/>
        <w:gridCol w:w="2035"/>
        <w:gridCol w:w="251"/>
        <w:gridCol w:w="2068"/>
        <w:gridCol w:w="20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9" w:type="pct"/>
          </w:tcPr>
          <w:p>
            <w:pPr>
              <w:widowControl/>
              <w:jc w:val="center"/>
              <w:rPr>
                <w:rFonts w:ascii="Calibri" w:hAnsi="Calibri" w:eastAsia="宋体" w:cs="Times New Roman"/>
                <w:b/>
                <w:sz w:val="18"/>
                <w:szCs w:val="21"/>
              </w:rPr>
            </w:pPr>
            <w:r>
              <w:rPr>
                <w:rFonts w:ascii="Calibri" w:hAnsi="Calibri" w:eastAsia="宋体" w:cs="Times New Roman"/>
                <w:b/>
                <w:sz w:val="18"/>
                <w:szCs w:val="21"/>
              </w:rPr>
              <w:t>编号</w:t>
            </w:r>
          </w:p>
        </w:tc>
        <w:tc>
          <w:tcPr>
            <w:tcW w:w="1060" w:type="pct"/>
          </w:tcPr>
          <w:p>
            <w:pPr>
              <w:widowControl/>
              <w:jc w:val="center"/>
              <w:rPr>
                <w:rFonts w:ascii="Calibri" w:hAnsi="Calibri" w:eastAsia="宋体" w:cs="Times New Roman"/>
                <w:sz w:val="18"/>
                <w:szCs w:val="21"/>
              </w:rPr>
            </w:pPr>
            <w:r>
              <w:rPr>
                <w:rFonts w:ascii="Calibri" w:hAnsi="Calibri" w:eastAsia="宋体" w:cs="Times New Roman"/>
                <w:sz w:val="18"/>
                <w:szCs w:val="21"/>
              </w:rPr>
              <w:t>1-1</w:t>
            </w:r>
          </w:p>
        </w:tc>
        <w:tc>
          <w:tcPr>
            <w:tcW w:w="1212" w:type="pct"/>
            <w:gridSpan w:val="2"/>
          </w:tcPr>
          <w:p>
            <w:pPr>
              <w:widowControl/>
              <w:jc w:val="center"/>
              <w:rPr>
                <w:rFonts w:ascii="Calibri" w:hAnsi="Calibri" w:eastAsia="宋体" w:cs="Times New Roman"/>
                <w:sz w:val="18"/>
                <w:szCs w:val="21"/>
              </w:rPr>
            </w:pPr>
            <w:r>
              <w:rPr>
                <w:rFonts w:ascii="Calibri" w:hAnsi="Calibri" w:eastAsia="宋体" w:cs="Times New Roman"/>
                <w:sz w:val="18"/>
                <w:szCs w:val="21"/>
              </w:rPr>
              <w:t>1－2</w:t>
            </w:r>
          </w:p>
        </w:tc>
        <w:tc>
          <w:tcPr>
            <w:tcW w:w="1210" w:type="pct"/>
            <w:gridSpan w:val="2"/>
          </w:tcPr>
          <w:p>
            <w:pPr>
              <w:widowControl/>
              <w:jc w:val="center"/>
              <w:rPr>
                <w:rFonts w:ascii="Calibri" w:hAnsi="Calibri" w:eastAsia="宋体" w:cs="Times New Roman"/>
                <w:sz w:val="18"/>
                <w:szCs w:val="21"/>
              </w:rPr>
            </w:pPr>
            <w:r>
              <w:rPr>
                <w:rFonts w:ascii="Calibri" w:hAnsi="Calibri" w:eastAsia="宋体" w:cs="Times New Roman"/>
                <w:sz w:val="18"/>
                <w:szCs w:val="21"/>
              </w:rPr>
              <w:t>1－3</w:t>
            </w:r>
          </w:p>
        </w:tc>
        <w:tc>
          <w:tcPr>
            <w:tcW w:w="1059" w:type="pct"/>
          </w:tcPr>
          <w:p>
            <w:pPr>
              <w:widowControl/>
              <w:jc w:val="center"/>
              <w:rPr>
                <w:rFonts w:ascii="Calibri" w:hAnsi="Calibri" w:eastAsia="宋体" w:cs="Times New Roman"/>
                <w:sz w:val="18"/>
                <w:szCs w:val="21"/>
              </w:rPr>
            </w:pPr>
            <w:r>
              <w:rPr>
                <w:rFonts w:ascii="Calibri" w:hAnsi="Calibri" w:eastAsia="宋体" w:cs="Times New Roman"/>
                <w:sz w:val="18"/>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9" w:type="pct"/>
          </w:tcPr>
          <w:p>
            <w:pPr>
              <w:widowControl/>
              <w:jc w:val="center"/>
              <w:rPr>
                <w:rFonts w:ascii="Calibri" w:hAnsi="Calibri" w:eastAsia="宋体" w:cs="Times New Roman"/>
                <w:b/>
                <w:sz w:val="18"/>
                <w:szCs w:val="21"/>
              </w:rPr>
            </w:pPr>
            <w:r>
              <w:rPr>
                <w:rFonts w:ascii="Calibri" w:hAnsi="Calibri" w:eastAsia="宋体" w:cs="Times New Roman"/>
                <w:b/>
                <w:sz w:val="18"/>
                <w:szCs w:val="21"/>
              </w:rPr>
              <w:t>图形标识</w:t>
            </w:r>
          </w:p>
        </w:tc>
        <w:tc>
          <w:tcPr>
            <w:tcW w:w="1060" w:type="pct"/>
          </w:tcPr>
          <w:p>
            <w:pPr>
              <w:widowControl/>
              <w:jc w:val="center"/>
              <w:rPr>
                <w:rFonts w:ascii="Calibri" w:hAnsi="Calibri" w:eastAsia="宋体" w:cs="Times New Roman"/>
                <w:sz w:val="18"/>
                <w:szCs w:val="21"/>
              </w:rPr>
            </w:pPr>
            <w:r>
              <w:rPr>
                <w:rFonts w:ascii="Calibri" w:hAnsi="Calibri" w:eastAsia="宋体" w:cs="Times New Roman"/>
                <w:kern w:val="0"/>
                <w:sz w:val="18"/>
                <w:szCs w:val="21"/>
              </w:rPr>
              <w:drawing>
                <wp:inline distT="0" distB="0" distL="0" distR="0">
                  <wp:extent cx="840740" cy="840740"/>
                  <wp:effectExtent l="0" t="0" r="0" b="0"/>
                  <wp:docPr id="30907" name="图片 30907" descr="http://www.hbsafety.cn/article/UploadPic/2006-12/20061227119385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7" name="图片 30907" descr="http://www.hbsafety.cn/article/UploadPic/2006-12/2006122711938598.gif"/>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a:xfrm>
                            <a:off x="0" y="0"/>
                            <a:ext cx="852562" cy="852562"/>
                          </a:xfrm>
                          <a:prstGeom prst="rect">
                            <a:avLst/>
                          </a:prstGeom>
                          <a:noFill/>
                          <a:ln>
                            <a:noFill/>
                          </a:ln>
                        </pic:spPr>
                      </pic:pic>
                    </a:graphicData>
                  </a:graphic>
                </wp:inline>
              </w:drawing>
            </w:r>
          </w:p>
        </w:tc>
        <w:tc>
          <w:tcPr>
            <w:tcW w:w="1212" w:type="pct"/>
            <w:gridSpan w:val="2"/>
          </w:tcPr>
          <w:p>
            <w:pPr>
              <w:widowControl/>
              <w:jc w:val="center"/>
              <w:rPr>
                <w:rFonts w:ascii="Calibri" w:hAnsi="Calibri" w:eastAsia="宋体" w:cs="Times New Roman"/>
                <w:sz w:val="18"/>
                <w:szCs w:val="21"/>
              </w:rPr>
            </w:pPr>
            <w:r>
              <w:rPr>
                <w:rFonts w:ascii="Calibri" w:hAnsi="Calibri" w:eastAsia="宋体" w:cs="Times New Roman"/>
                <w:kern w:val="0"/>
                <w:sz w:val="18"/>
                <w:szCs w:val="21"/>
              </w:rPr>
              <w:drawing>
                <wp:inline distT="0" distB="0" distL="0" distR="0">
                  <wp:extent cx="977265" cy="977265"/>
                  <wp:effectExtent l="0" t="0" r="0" b="0"/>
                  <wp:docPr id="30908" name="图片 30908" descr="http://www.hbsafety.cn/article/UploadPic/2006-12/20061227119389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8" name="图片 30908" descr="http://www.hbsafety.cn/article/UploadPic/2006-12/2006122711938993.gif"/>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a:xfrm>
                            <a:off x="0" y="0"/>
                            <a:ext cx="991261" cy="991261"/>
                          </a:xfrm>
                          <a:prstGeom prst="rect">
                            <a:avLst/>
                          </a:prstGeom>
                          <a:noFill/>
                          <a:ln>
                            <a:noFill/>
                          </a:ln>
                        </pic:spPr>
                      </pic:pic>
                    </a:graphicData>
                  </a:graphic>
                </wp:inline>
              </w:drawing>
            </w:r>
          </w:p>
        </w:tc>
        <w:tc>
          <w:tcPr>
            <w:tcW w:w="1210" w:type="pct"/>
            <w:gridSpan w:val="2"/>
          </w:tcPr>
          <w:p>
            <w:pPr>
              <w:widowControl/>
              <w:jc w:val="center"/>
              <w:rPr>
                <w:rFonts w:ascii="Calibri" w:hAnsi="Calibri" w:eastAsia="宋体" w:cs="Times New Roman"/>
                <w:sz w:val="18"/>
                <w:szCs w:val="21"/>
              </w:rPr>
            </w:pPr>
            <w:r>
              <w:rPr>
                <w:rFonts w:ascii="Calibri" w:hAnsi="Calibri" w:eastAsia="宋体" w:cs="Times New Roman"/>
                <w:kern w:val="0"/>
                <w:sz w:val="18"/>
                <w:szCs w:val="21"/>
              </w:rPr>
              <w:drawing>
                <wp:inline distT="0" distB="0" distL="0" distR="0">
                  <wp:extent cx="876300" cy="876300"/>
                  <wp:effectExtent l="0" t="0" r="0" b="0"/>
                  <wp:docPr id="30909" name="图片 30909" descr="http://www.hbsafety.cn/article/UploadPic/2006-12/20061227119387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9" name="图片 30909" descr="http://www.hbsafety.cn/article/UploadPic/2006-12/2006122711938798.gif"/>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a:xfrm>
                            <a:off x="0" y="0"/>
                            <a:ext cx="889699" cy="889699"/>
                          </a:xfrm>
                          <a:prstGeom prst="rect">
                            <a:avLst/>
                          </a:prstGeom>
                          <a:noFill/>
                          <a:ln>
                            <a:noFill/>
                          </a:ln>
                        </pic:spPr>
                      </pic:pic>
                    </a:graphicData>
                  </a:graphic>
                </wp:inline>
              </w:drawing>
            </w:r>
          </w:p>
        </w:tc>
        <w:tc>
          <w:tcPr>
            <w:tcW w:w="1059" w:type="pct"/>
          </w:tcPr>
          <w:p>
            <w:pPr>
              <w:widowControl/>
              <w:jc w:val="center"/>
              <w:rPr>
                <w:rFonts w:ascii="Calibri" w:hAnsi="Calibri" w:eastAsia="宋体" w:cs="Times New Roman"/>
                <w:sz w:val="18"/>
                <w:szCs w:val="21"/>
              </w:rPr>
            </w:pPr>
            <w:r>
              <w:rPr>
                <w:rFonts w:ascii="Calibri" w:hAnsi="Calibri" w:eastAsia="宋体" w:cs="Times New Roman"/>
                <w:kern w:val="0"/>
                <w:sz w:val="18"/>
                <w:szCs w:val="21"/>
              </w:rPr>
              <w:drawing>
                <wp:inline distT="0" distB="0" distL="0" distR="0">
                  <wp:extent cx="892175" cy="892175"/>
                  <wp:effectExtent l="0" t="0" r="3175" b="3175"/>
                  <wp:docPr id="30910" name="图片 30910" descr="http://www.hbsafety.cn/article/UploadPic/2006-12/20061227119387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0" name="图片 30910" descr="http://www.hbsafety.cn/article/UploadPic/2006-12/2006122711938701.gif"/>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a:xfrm>
                            <a:off x="0" y="0"/>
                            <a:ext cx="903359" cy="903359"/>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9" w:type="pct"/>
          </w:tcPr>
          <w:p>
            <w:pPr>
              <w:widowControl/>
              <w:jc w:val="center"/>
              <w:rPr>
                <w:rFonts w:ascii="Calibri" w:hAnsi="Calibri" w:eastAsia="宋体" w:cs="Times New Roman"/>
                <w:b/>
                <w:sz w:val="18"/>
                <w:szCs w:val="21"/>
              </w:rPr>
            </w:pPr>
            <w:r>
              <w:rPr>
                <w:rFonts w:ascii="Calibri" w:hAnsi="Calibri" w:eastAsia="宋体" w:cs="Times New Roman"/>
                <w:b/>
                <w:sz w:val="18"/>
                <w:szCs w:val="21"/>
              </w:rPr>
              <w:t>名称</w:t>
            </w:r>
          </w:p>
        </w:tc>
        <w:tc>
          <w:tcPr>
            <w:tcW w:w="1060" w:type="pct"/>
          </w:tcPr>
          <w:p>
            <w:pPr>
              <w:jc w:val="center"/>
              <w:rPr>
                <w:rFonts w:ascii="Calibri" w:hAnsi="Calibri" w:eastAsia="宋体" w:cs="Times New Roman"/>
                <w:sz w:val="18"/>
                <w:szCs w:val="21"/>
              </w:rPr>
            </w:pPr>
            <w:r>
              <w:rPr>
                <w:rFonts w:ascii="Calibri" w:hAnsi="Calibri" w:eastAsia="宋体" w:cs="Times New Roman"/>
                <w:sz w:val="18"/>
                <w:szCs w:val="21"/>
              </w:rPr>
              <w:t>禁止吸烟</w:t>
            </w:r>
          </w:p>
          <w:p>
            <w:pPr>
              <w:widowControl/>
              <w:jc w:val="center"/>
              <w:rPr>
                <w:rFonts w:ascii="Calibri" w:hAnsi="Calibri" w:eastAsia="宋体" w:cs="Times New Roman"/>
                <w:sz w:val="18"/>
                <w:szCs w:val="21"/>
              </w:rPr>
            </w:pPr>
            <w:r>
              <w:rPr>
                <w:rFonts w:ascii="Calibri" w:hAnsi="Calibri" w:eastAsia="宋体" w:cs="Times New Roman"/>
                <w:sz w:val="18"/>
                <w:szCs w:val="21"/>
              </w:rPr>
              <w:t>No smoking</w:t>
            </w:r>
          </w:p>
        </w:tc>
        <w:tc>
          <w:tcPr>
            <w:tcW w:w="1212" w:type="pct"/>
            <w:gridSpan w:val="2"/>
          </w:tcPr>
          <w:p>
            <w:pPr>
              <w:jc w:val="center"/>
              <w:rPr>
                <w:rFonts w:ascii="Calibri" w:hAnsi="Calibri" w:eastAsia="宋体" w:cs="Times New Roman"/>
                <w:sz w:val="18"/>
                <w:szCs w:val="21"/>
              </w:rPr>
            </w:pPr>
            <w:r>
              <w:rPr>
                <w:rFonts w:ascii="Calibri" w:hAnsi="Calibri" w:eastAsia="宋体" w:cs="Times New Roman"/>
                <w:sz w:val="18"/>
                <w:szCs w:val="21"/>
              </w:rPr>
              <w:t>禁止烟火</w:t>
            </w:r>
          </w:p>
          <w:p>
            <w:pPr>
              <w:widowControl/>
              <w:jc w:val="center"/>
              <w:rPr>
                <w:rFonts w:ascii="Calibri" w:hAnsi="Calibri" w:eastAsia="宋体" w:cs="Times New Roman"/>
                <w:sz w:val="18"/>
                <w:szCs w:val="21"/>
              </w:rPr>
            </w:pPr>
            <w:r>
              <w:rPr>
                <w:rFonts w:ascii="Calibri" w:hAnsi="Calibri" w:eastAsia="宋体" w:cs="Times New Roman"/>
                <w:sz w:val="18"/>
                <w:szCs w:val="21"/>
              </w:rPr>
              <w:t>No burning</w:t>
            </w:r>
          </w:p>
        </w:tc>
        <w:tc>
          <w:tcPr>
            <w:tcW w:w="1210" w:type="pct"/>
            <w:gridSpan w:val="2"/>
          </w:tcPr>
          <w:p>
            <w:pPr>
              <w:jc w:val="center"/>
              <w:rPr>
                <w:rFonts w:ascii="Calibri" w:hAnsi="Calibri" w:eastAsia="宋体" w:cs="Times New Roman"/>
                <w:sz w:val="18"/>
                <w:szCs w:val="21"/>
              </w:rPr>
            </w:pPr>
            <w:r>
              <w:rPr>
                <w:rFonts w:ascii="Calibri" w:hAnsi="Calibri" w:eastAsia="宋体" w:cs="Times New Roman"/>
                <w:sz w:val="18"/>
                <w:szCs w:val="21"/>
              </w:rPr>
              <w:t>禁止带火种</w:t>
            </w:r>
          </w:p>
          <w:p>
            <w:pPr>
              <w:widowControl/>
              <w:jc w:val="center"/>
              <w:rPr>
                <w:rFonts w:ascii="Calibri" w:hAnsi="Calibri" w:eastAsia="宋体" w:cs="Times New Roman"/>
                <w:sz w:val="18"/>
                <w:szCs w:val="21"/>
              </w:rPr>
            </w:pPr>
            <w:r>
              <w:rPr>
                <w:rFonts w:ascii="Calibri" w:hAnsi="Calibri" w:eastAsia="宋体" w:cs="Times New Roman"/>
                <w:sz w:val="18"/>
                <w:szCs w:val="21"/>
              </w:rPr>
              <w:t>No kindling</w:t>
            </w:r>
          </w:p>
        </w:tc>
        <w:tc>
          <w:tcPr>
            <w:tcW w:w="1059" w:type="pct"/>
          </w:tcPr>
          <w:p>
            <w:pPr>
              <w:jc w:val="center"/>
              <w:rPr>
                <w:rFonts w:ascii="Calibri" w:hAnsi="Calibri" w:eastAsia="宋体" w:cs="Times New Roman"/>
                <w:sz w:val="18"/>
                <w:szCs w:val="21"/>
              </w:rPr>
            </w:pPr>
            <w:r>
              <w:rPr>
                <w:rFonts w:ascii="Calibri" w:hAnsi="Calibri" w:eastAsia="宋体" w:cs="Times New Roman"/>
                <w:sz w:val="18"/>
                <w:szCs w:val="21"/>
              </w:rPr>
              <w:t>禁止用水灭火</w:t>
            </w:r>
          </w:p>
          <w:p>
            <w:pPr>
              <w:widowControl/>
              <w:jc w:val="center"/>
              <w:rPr>
                <w:rFonts w:ascii="Calibri" w:hAnsi="Calibri" w:eastAsia="宋体" w:cs="Times New Roman"/>
                <w:sz w:val="18"/>
                <w:szCs w:val="21"/>
              </w:rPr>
            </w:pPr>
            <w:r>
              <w:rPr>
                <w:rFonts w:ascii="Calibri" w:hAnsi="Calibri" w:eastAsia="宋体" w:cs="Times New Roman"/>
                <w:sz w:val="18"/>
                <w:szCs w:val="21"/>
              </w:rPr>
              <w:t>No extinguishing with water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9" w:type="pct"/>
          </w:tcPr>
          <w:p>
            <w:pPr>
              <w:widowControl/>
              <w:jc w:val="center"/>
              <w:rPr>
                <w:rFonts w:ascii="Calibri" w:hAnsi="Calibri" w:eastAsia="宋体" w:cs="Times New Roman"/>
                <w:b/>
                <w:sz w:val="18"/>
                <w:szCs w:val="21"/>
              </w:rPr>
            </w:pPr>
            <w:r>
              <w:rPr>
                <w:rFonts w:ascii="Calibri" w:hAnsi="Calibri" w:eastAsia="宋体" w:cs="Times New Roman"/>
                <w:b/>
                <w:sz w:val="18"/>
                <w:szCs w:val="21"/>
              </w:rPr>
              <w:t>标志种类</w:t>
            </w:r>
          </w:p>
        </w:tc>
        <w:tc>
          <w:tcPr>
            <w:tcW w:w="1060" w:type="pct"/>
          </w:tcPr>
          <w:p>
            <w:pPr>
              <w:widowControl/>
              <w:jc w:val="center"/>
              <w:rPr>
                <w:rFonts w:ascii="Calibri" w:hAnsi="Calibri" w:eastAsia="宋体" w:cs="Times New Roman"/>
                <w:sz w:val="18"/>
                <w:szCs w:val="21"/>
              </w:rPr>
            </w:pPr>
            <w:r>
              <w:rPr>
                <w:rFonts w:ascii="Calibri" w:hAnsi="Calibri" w:eastAsia="宋体" w:cs="Times New Roman"/>
                <w:sz w:val="18"/>
                <w:szCs w:val="21"/>
              </w:rPr>
              <w:t>H</w:t>
            </w:r>
          </w:p>
        </w:tc>
        <w:tc>
          <w:tcPr>
            <w:tcW w:w="1212" w:type="pct"/>
            <w:gridSpan w:val="2"/>
          </w:tcPr>
          <w:p>
            <w:pPr>
              <w:widowControl/>
              <w:jc w:val="center"/>
              <w:rPr>
                <w:rFonts w:ascii="Calibri" w:hAnsi="Calibri" w:eastAsia="宋体" w:cs="Times New Roman"/>
                <w:sz w:val="18"/>
                <w:szCs w:val="21"/>
              </w:rPr>
            </w:pPr>
            <w:r>
              <w:rPr>
                <w:rFonts w:ascii="Calibri" w:hAnsi="Calibri" w:eastAsia="宋体" w:cs="Times New Roman"/>
                <w:sz w:val="18"/>
                <w:szCs w:val="21"/>
              </w:rPr>
              <w:t>H</w:t>
            </w:r>
          </w:p>
        </w:tc>
        <w:tc>
          <w:tcPr>
            <w:tcW w:w="1210" w:type="pct"/>
            <w:gridSpan w:val="2"/>
          </w:tcPr>
          <w:p>
            <w:pPr>
              <w:widowControl/>
              <w:jc w:val="center"/>
              <w:rPr>
                <w:rFonts w:ascii="Calibri" w:hAnsi="Calibri" w:eastAsia="宋体" w:cs="Times New Roman"/>
                <w:sz w:val="18"/>
                <w:szCs w:val="21"/>
              </w:rPr>
            </w:pPr>
            <w:r>
              <w:rPr>
                <w:rFonts w:ascii="Calibri" w:hAnsi="Calibri" w:eastAsia="宋体" w:cs="Times New Roman"/>
                <w:sz w:val="18"/>
                <w:szCs w:val="21"/>
              </w:rPr>
              <w:t>H</w:t>
            </w:r>
          </w:p>
        </w:tc>
        <w:tc>
          <w:tcPr>
            <w:tcW w:w="1059" w:type="pct"/>
          </w:tcPr>
          <w:p>
            <w:pPr>
              <w:widowControl/>
              <w:jc w:val="center"/>
              <w:rPr>
                <w:rFonts w:ascii="Calibri" w:hAnsi="Calibri" w:eastAsia="宋体" w:cs="Times New Roman"/>
                <w:sz w:val="18"/>
                <w:szCs w:val="21"/>
              </w:rPr>
            </w:pPr>
            <w:r>
              <w:rPr>
                <w:rFonts w:ascii="Calibri" w:hAnsi="Calibri" w:eastAsia="宋体" w:cs="Times New Roman"/>
                <w:sz w:val="18"/>
                <w:szCs w:val="21"/>
              </w:rPr>
              <w:t>H.J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9" w:type="pct"/>
          </w:tcPr>
          <w:p>
            <w:pPr>
              <w:widowControl/>
              <w:jc w:val="center"/>
              <w:rPr>
                <w:rFonts w:ascii="Calibri" w:hAnsi="Calibri" w:eastAsia="宋体" w:cs="Times New Roman"/>
                <w:b/>
                <w:sz w:val="18"/>
                <w:szCs w:val="21"/>
              </w:rPr>
            </w:pPr>
            <w:r>
              <w:rPr>
                <w:rFonts w:ascii="Calibri" w:hAnsi="Calibri" w:eastAsia="宋体" w:cs="Times New Roman"/>
                <w:b/>
                <w:sz w:val="18"/>
                <w:szCs w:val="21"/>
              </w:rPr>
              <w:t>设置范围和地点</w:t>
            </w:r>
          </w:p>
        </w:tc>
        <w:tc>
          <w:tcPr>
            <w:tcW w:w="1060" w:type="pct"/>
          </w:tcPr>
          <w:p>
            <w:pPr>
              <w:widowControl/>
              <w:jc w:val="center"/>
              <w:rPr>
                <w:rFonts w:ascii="Calibri" w:hAnsi="Calibri" w:eastAsia="宋体" w:cs="Times New Roman"/>
                <w:sz w:val="18"/>
                <w:szCs w:val="21"/>
              </w:rPr>
            </w:pPr>
            <w:r>
              <w:rPr>
                <w:rFonts w:ascii="Calibri" w:hAnsi="Calibri" w:eastAsia="宋体" w:cs="Times New Roman"/>
                <w:sz w:val="18"/>
                <w:szCs w:val="21"/>
              </w:rPr>
              <w:t>有甲、乙、丙类火灾危险物质的场所和禁止吸烟的公共场所等，如：木工车间、油漆车间、沥青车间、纺织厂、印染厂等。</w:t>
            </w:r>
          </w:p>
        </w:tc>
        <w:tc>
          <w:tcPr>
            <w:tcW w:w="1212" w:type="pct"/>
            <w:gridSpan w:val="2"/>
          </w:tcPr>
          <w:p>
            <w:pPr>
              <w:widowControl/>
              <w:jc w:val="center"/>
              <w:rPr>
                <w:rFonts w:ascii="Calibri" w:hAnsi="Calibri" w:eastAsia="宋体" w:cs="Times New Roman"/>
                <w:sz w:val="18"/>
                <w:szCs w:val="21"/>
              </w:rPr>
            </w:pPr>
            <w:r>
              <w:rPr>
                <w:rFonts w:ascii="Calibri" w:hAnsi="Calibri" w:eastAsia="宋体" w:cs="Times New Roman"/>
                <w:sz w:val="18"/>
                <w:szCs w:val="21"/>
              </w:rPr>
              <w:t>有甲、乙类，丙类火灾危险物质的场所，如面粉厂、煤粉厂、焦化厂、施工工地等。</w:t>
            </w:r>
          </w:p>
        </w:tc>
        <w:tc>
          <w:tcPr>
            <w:tcW w:w="1210" w:type="pct"/>
            <w:gridSpan w:val="2"/>
          </w:tcPr>
          <w:p>
            <w:pPr>
              <w:widowControl/>
              <w:jc w:val="center"/>
              <w:rPr>
                <w:rFonts w:ascii="Calibri" w:hAnsi="Calibri" w:eastAsia="宋体" w:cs="Times New Roman"/>
                <w:sz w:val="18"/>
                <w:szCs w:val="21"/>
              </w:rPr>
            </w:pPr>
            <w:r>
              <w:rPr>
                <w:rFonts w:ascii="Calibri" w:hAnsi="Calibri" w:eastAsia="宋体" w:cs="Times New Roman"/>
                <w:sz w:val="18"/>
                <w:szCs w:val="21"/>
              </w:rPr>
              <w:t>有甲类火灾危险物质及其他禁止带火种的各种危险场所，如炼油厂、乙炔站、液化石油气站、煤矿井内、林区、草原等。</w:t>
            </w:r>
          </w:p>
        </w:tc>
        <w:tc>
          <w:tcPr>
            <w:tcW w:w="1059" w:type="pct"/>
          </w:tcPr>
          <w:p>
            <w:pPr>
              <w:widowControl/>
              <w:jc w:val="center"/>
              <w:rPr>
                <w:rFonts w:ascii="Calibri" w:hAnsi="Calibri" w:eastAsia="宋体" w:cs="Times New Roman"/>
                <w:sz w:val="18"/>
                <w:szCs w:val="21"/>
              </w:rPr>
            </w:pPr>
            <w:r>
              <w:rPr>
                <w:rFonts w:ascii="Calibri" w:hAnsi="Calibri" w:eastAsia="宋体" w:cs="Times New Roman"/>
                <w:sz w:val="18"/>
                <w:szCs w:val="21"/>
              </w:rPr>
              <w:t>生产、储运、使用中有不准用水灭火的物质的场所，如变压器室、乙炔站、化工药品库、各种油库等。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459" w:type="pct"/>
            <w:vAlign w:val="center"/>
          </w:tcPr>
          <w:p>
            <w:pPr>
              <w:widowControl/>
              <w:jc w:val="center"/>
              <w:rPr>
                <w:rFonts w:ascii="Calibri" w:hAnsi="Calibri" w:eastAsia="宋体" w:cs="Times New Roman"/>
                <w:b/>
                <w:sz w:val="18"/>
                <w:szCs w:val="21"/>
              </w:rPr>
            </w:pPr>
            <w:r>
              <w:rPr>
                <w:rFonts w:ascii="Calibri" w:hAnsi="Calibri" w:eastAsia="宋体" w:cs="Times New Roman"/>
                <w:b/>
                <w:sz w:val="18"/>
                <w:szCs w:val="21"/>
              </w:rPr>
              <w:t>编号</w:t>
            </w:r>
          </w:p>
        </w:tc>
        <w:tc>
          <w:tcPr>
            <w:tcW w:w="1060" w:type="pct"/>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1－5</w:t>
            </w:r>
          </w:p>
        </w:tc>
        <w:tc>
          <w:tcPr>
            <w:tcW w:w="1212" w:type="pct"/>
            <w:gridSpan w:val="2"/>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1－6</w:t>
            </w:r>
          </w:p>
        </w:tc>
        <w:tc>
          <w:tcPr>
            <w:tcW w:w="1210" w:type="pct"/>
            <w:gridSpan w:val="2"/>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1－7</w:t>
            </w:r>
          </w:p>
        </w:tc>
        <w:tc>
          <w:tcPr>
            <w:tcW w:w="1059" w:type="pct"/>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7" w:hRule="atLeast"/>
        </w:trPr>
        <w:tc>
          <w:tcPr>
            <w:tcW w:w="459" w:type="pct"/>
            <w:vAlign w:val="center"/>
          </w:tcPr>
          <w:p>
            <w:pPr>
              <w:widowControl/>
              <w:jc w:val="center"/>
              <w:rPr>
                <w:rFonts w:ascii="Calibri" w:hAnsi="Calibri" w:eastAsia="宋体" w:cs="Times New Roman"/>
                <w:b/>
                <w:sz w:val="18"/>
                <w:szCs w:val="21"/>
              </w:rPr>
            </w:pPr>
            <w:r>
              <w:rPr>
                <w:rFonts w:ascii="Calibri" w:hAnsi="Calibri" w:eastAsia="宋体" w:cs="Times New Roman"/>
                <w:b/>
                <w:sz w:val="18"/>
                <w:szCs w:val="21"/>
              </w:rPr>
              <w:t>图形标识</w:t>
            </w:r>
          </w:p>
        </w:tc>
        <w:tc>
          <w:tcPr>
            <w:tcW w:w="1060" w:type="pct"/>
            <w:vAlign w:val="center"/>
          </w:tcPr>
          <w:p>
            <w:pPr>
              <w:widowControl/>
              <w:jc w:val="center"/>
              <w:rPr>
                <w:rFonts w:ascii="Calibri" w:hAnsi="Calibri" w:eastAsia="宋体" w:cs="Times New Roman"/>
                <w:sz w:val="18"/>
                <w:szCs w:val="21"/>
              </w:rPr>
            </w:pPr>
            <w:r>
              <w:rPr>
                <w:rFonts w:ascii="Calibri" w:hAnsi="Calibri" w:eastAsia="宋体" w:cs="Times New Roman"/>
                <w:kern w:val="0"/>
                <w:sz w:val="18"/>
                <w:szCs w:val="21"/>
              </w:rPr>
              <w:drawing>
                <wp:inline distT="0" distB="0" distL="0" distR="0">
                  <wp:extent cx="919480" cy="919480"/>
                  <wp:effectExtent l="0" t="0" r="0" b="0"/>
                  <wp:docPr id="30911" name="图片 30911" descr="http://www.hbsafety.cn/article/UploadPic/2006-12/20061227119382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1" name="图片 30911" descr="http://www.hbsafety.cn/article/UploadPic/2006-12/2006122711938224.gif"/>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a:xfrm>
                            <a:off x="0" y="0"/>
                            <a:ext cx="927352" cy="927352"/>
                          </a:xfrm>
                          <a:prstGeom prst="rect">
                            <a:avLst/>
                          </a:prstGeom>
                          <a:noFill/>
                          <a:ln>
                            <a:noFill/>
                          </a:ln>
                        </pic:spPr>
                      </pic:pic>
                    </a:graphicData>
                  </a:graphic>
                </wp:inline>
              </w:drawing>
            </w:r>
          </w:p>
        </w:tc>
        <w:tc>
          <w:tcPr>
            <w:tcW w:w="1212" w:type="pct"/>
            <w:gridSpan w:val="2"/>
            <w:vAlign w:val="center"/>
          </w:tcPr>
          <w:p>
            <w:pPr>
              <w:widowControl/>
              <w:jc w:val="center"/>
              <w:rPr>
                <w:rFonts w:ascii="Calibri" w:hAnsi="Calibri" w:eastAsia="宋体" w:cs="Times New Roman"/>
                <w:sz w:val="18"/>
                <w:szCs w:val="21"/>
              </w:rPr>
            </w:pPr>
            <w:r>
              <w:rPr>
                <w:rFonts w:ascii="Calibri" w:hAnsi="Calibri" w:eastAsia="宋体" w:cs="Times New Roman"/>
                <w:kern w:val="0"/>
                <w:sz w:val="18"/>
                <w:szCs w:val="21"/>
              </w:rPr>
              <w:drawing>
                <wp:inline distT="0" distB="0" distL="0" distR="0">
                  <wp:extent cx="885190" cy="885190"/>
                  <wp:effectExtent l="0" t="0" r="0" b="0"/>
                  <wp:docPr id="30912" name="图片 30912" descr="http://www.hbsafety.cn/article/UploadPic/2006-12/20061227119388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2" name="图片 30912" descr="http://www.hbsafety.cn/article/UploadPic/2006-12/2006122711938860.gif"/>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a:xfrm>
                            <a:off x="0" y="0"/>
                            <a:ext cx="891147" cy="891147"/>
                          </a:xfrm>
                          <a:prstGeom prst="rect">
                            <a:avLst/>
                          </a:prstGeom>
                          <a:noFill/>
                          <a:ln>
                            <a:noFill/>
                          </a:ln>
                        </pic:spPr>
                      </pic:pic>
                    </a:graphicData>
                  </a:graphic>
                </wp:inline>
              </w:drawing>
            </w:r>
          </w:p>
        </w:tc>
        <w:tc>
          <w:tcPr>
            <w:tcW w:w="1210" w:type="pct"/>
            <w:gridSpan w:val="2"/>
            <w:vAlign w:val="center"/>
          </w:tcPr>
          <w:p>
            <w:pPr>
              <w:widowControl/>
              <w:jc w:val="center"/>
              <w:rPr>
                <w:rFonts w:ascii="Calibri" w:hAnsi="Calibri" w:eastAsia="宋体" w:cs="Times New Roman"/>
                <w:sz w:val="18"/>
                <w:szCs w:val="21"/>
              </w:rPr>
            </w:pPr>
            <w:r>
              <w:rPr>
                <w:rFonts w:ascii="Calibri" w:hAnsi="Calibri" w:eastAsia="宋体" w:cs="Times New Roman"/>
                <w:kern w:val="0"/>
                <w:sz w:val="18"/>
                <w:szCs w:val="21"/>
              </w:rPr>
              <w:drawing>
                <wp:inline distT="0" distB="0" distL="0" distR="0">
                  <wp:extent cx="889000" cy="889000"/>
                  <wp:effectExtent l="0" t="0" r="6350" b="6350"/>
                  <wp:docPr id="30913" name="图片 30913" descr="http://www.hbsafety.cn/article/UploadPic/2006-12/20061227119384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3" name="图片 30913" descr="http://www.hbsafety.cn/article/UploadPic/2006-12/2006122711938465.gif"/>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a:xfrm>
                            <a:off x="0" y="0"/>
                            <a:ext cx="894267" cy="894267"/>
                          </a:xfrm>
                          <a:prstGeom prst="rect">
                            <a:avLst/>
                          </a:prstGeom>
                          <a:noFill/>
                          <a:ln>
                            <a:noFill/>
                          </a:ln>
                        </pic:spPr>
                      </pic:pic>
                    </a:graphicData>
                  </a:graphic>
                </wp:inline>
              </w:drawing>
            </w:r>
          </w:p>
        </w:tc>
        <w:tc>
          <w:tcPr>
            <w:tcW w:w="1059" w:type="pct"/>
            <w:vAlign w:val="center"/>
          </w:tcPr>
          <w:p>
            <w:pPr>
              <w:widowControl/>
              <w:jc w:val="center"/>
              <w:rPr>
                <w:rFonts w:ascii="Calibri" w:hAnsi="Calibri" w:eastAsia="宋体" w:cs="Times New Roman"/>
                <w:sz w:val="18"/>
                <w:szCs w:val="21"/>
              </w:rPr>
            </w:pPr>
            <w:r>
              <w:rPr>
                <w:rFonts w:ascii="Calibri" w:hAnsi="Calibri" w:eastAsia="宋体" w:cs="Times New Roman"/>
                <w:kern w:val="0"/>
                <w:sz w:val="18"/>
                <w:szCs w:val="21"/>
              </w:rPr>
              <w:drawing>
                <wp:inline distT="0" distB="0" distL="0" distR="0">
                  <wp:extent cx="961390" cy="961390"/>
                  <wp:effectExtent l="0" t="0" r="0" b="0"/>
                  <wp:docPr id="30914" name="图片 30914" descr="http://www.hbsafety.cn/article/UploadPic/2006-12/20061227119385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4" name="图片 30914" descr="http://www.hbsafety.cn/article/UploadPic/2006-12/2006122711938537.gif"/>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a:xfrm>
                            <a:off x="0" y="0"/>
                            <a:ext cx="969542" cy="969542"/>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0" w:hRule="atLeast"/>
        </w:trPr>
        <w:tc>
          <w:tcPr>
            <w:tcW w:w="459" w:type="pct"/>
            <w:vAlign w:val="center"/>
          </w:tcPr>
          <w:p>
            <w:pPr>
              <w:widowControl/>
              <w:jc w:val="center"/>
              <w:rPr>
                <w:rFonts w:ascii="Calibri" w:hAnsi="Calibri" w:eastAsia="宋体" w:cs="Times New Roman"/>
                <w:b/>
                <w:sz w:val="18"/>
                <w:szCs w:val="21"/>
              </w:rPr>
            </w:pPr>
            <w:r>
              <w:rPr>
                <w:rFonts w:ascii="Calibri" w:hAnsi="Calibri" w:eastAsia="宋体" w:cs="Times New Roman"/>
                <w:b/>
                <w:sz w:val="18"/>
                <w:szCs w:val="21"/>
              </w:rPr>
              <w:t>名称</w:t>
            </w:r>
          </w:p>
        </w:tc>
        <w:tc>
          <w:tcPr>
            <w:tcW w:w="1060" w:type="pct"/>
            <w:vAlign w:val="center"/>
          </w:tcPr>
          <w:p>
            <w:pPr>
              <w:jc w:val="center"/>
              <w:rPr>
                <w:rFonts w:ascii="Calibri" w:hAnsi="Calibri" w:eastAsia="宋体" w:cs="Times New Roman"/>
                <w:sz w:val="18"/>
                <w:szCs w:val="21"/>
              </w:rPr>
            </w:pPr>
            <w:r>
              <w:rPr>
                <w:rFonts w:ascii="Calibri" w:hAnsi="Calibri" w:eastAsia="宋体" w:cs="Times New Roman"/>
                <w:sz w:val="18"/>
                <w:szCs w:val="21"/>
              </w:rPr>
              <w:t>禁止放置易燃物</w:t>
            </w:r>
          </w:p>
          <w:p>
            <w:pPr>
              <w:widowControl/>
              <w:jc w:val="center"/>
              <w:rPr>
                <w:rFonts w:ascii="Calibri" w:hAnsi="Calibri" w:eastAsia="宋体" w:cs="Times New Roman"/>
                <w:sz w:val="18"/>
                <w:szCs w:val="21"/>
              </w:rPr>
            </w:pPr>
            <w:r>
              <w:rPr>
                <w:rFonts w:ascii="Calibri" w:hAnsi="Calibri" w:eastAsia="宋体" w:cs="Times New Roman"/>
                <w:sz w:val="18"/>
                <w:szCs w:val="21"/>
              </w:rPr>
              <w:t>No laying inflammable thing</w:t>
            </w:r>
          </w:p>
        </w:tc>
        <w:tc>
          <w:tcPr>
            <w:tcW w:w="1212" w:type="pct"/>
            <w:gridSpan w:val="2"/>
            <w:vAlign w:val="center"/>
          </w:tcPr>
          <w:p>
            <w:pPr>
              <w:jc w:val="center"/>
              <w:rPr>
                <w:rFonts w:ascii="Calibri" w:hAnsi="Calibri" w:eastAsia="宋体" w:cs="Times New Roman"/>
                <w:sz w:val="18"/>
                <w:szCs w:val="21"/>
              </w:rPr>
            </w:pPr>
            <w:r>
              <w:rPr>
                <w:rFonts w:ascii="Calibri" w:hAnsi="Calibri" w:eastAsia="宋体" w:cs="Times New Roman"/>
                <w:sz w:val="18"/>
                <w:szCs w:val="21"/>
              </w:rPr>
              <w:t>禁止堆放</w:t>
            </w:r>
          </w:p>
          <w:p>
            <w:pPr>
              <w:widowControl/>
              <w:jc w:val="center"/>
              <w:rPr>
                <w:rFonts w:ascii="Calibri" w:hAnsi="Calibri" w:eastAsia="宋体" w:cs="Times New Roman"/>
                <w:sz w:val="18"/>
                <w:szCs w:val="21"/>
              </w:rPr>
            </w:pPr>
            <w:r>
              <w:rPr>
                <w:rFonts w:ascii="Calibri" w:hAnsi="Calibri" w:eastAsia="宋体" w:cs="Times New Roman"/>
                <w:sz w:val="18"/>
                <w:szCs w:val="21"/>
              </w:rPr>
              <w:t>No stocking</w:t>
            </w:r>
          </w:p>
        </w:tc>
        <w:tc>
          <w:tcPr>
            <w:tcW w:w="1210" w:type="pct"/>
            <w:gridSpan w:val="2"/>
            <w:vAlign w:val="center"/>
          </w:tcPr>
          <w:p>
            <w:pPr>
              <w:jc w:val="center"/>
              <w:rPr>
                <w:rFonts w:ascii="Calibri" w:hAnsi="Calibri" w:eastAsia="宋体" w:cs="Times New Roman"/>
                <w:sz w:val="18"/>
                <w:szCs w:val="21"/>
              </w:rPr>
            </w:pPr>
            <w:r>
              <w:rPr>
                <w:rFonts w:ascii="Calibri" w:hAnsi="Calibri" w:eastAsia="宋体" w:cs="Times New Roman"/>
                <w:sz w:val="18"/>
                <w:szCs w:val="21"/>
              </w:rPr>
              <w:t>禁止启动</w:t>
            </w:r>
          </w:p>
          <w:p>
            <w:pPr>
              <w:widowControl/>
              <w:jc w:val="center"/>
              <w:rPr>
                <w:rFonts w:ascii="Calibri" w:hAnsi="Calibri" w:eastAsia="宋体" w:cs="Times New Roman"/>
                <w:sz w:val="18"/>
                <w:szCs w:val="21"/>
              </w:rPr>
            </w:pPr>
            <w:r>
              <w:rPr>
                <w:rFonts w:ascii="Calibri" w:hAnsi="Calibri" w:eastAsia="宋体" w:cs="Times New Roman"/>
                <w:sz w:val="18"/>
                <w:szCs w:val="21"/>
              </w:rPr>
              <w:t>No starting</w:t>
            </w:r>
          </w:p>
        </w:tc>
        <w:tc>
          <w:tcPr>
            <w:tcW w:w="1059" w:type="pct"/>
            <w:vAlign w:val="center"/>
          </w:tcPr>
          <w:p>
            <w:pPr>
              <w:jc w:val="center"/>
              <w:rPr>
                <w:rFonts w:ascii="Calibri" w:hAnsi="Calibri" w:eastAsia="宋体" w:cs="Times New Roman"/>
                <w:sz w:val="18"/>
                <w:szCs w:val="21"/>
              </w:rPr>
            </w:pPr>
            <w:r>
              <w:rPr>
                <w:rFonts w:ascii="Calibri" w:hAnsi="Calibri" w:eastAsia="宋体" w:cs="Times New Roman"/>
                <w:sz w:val="18"/>
                <w:szCs w:val="21"/>
              </w:rPr>
              <w:t>禁止合闸</w:t>
            </w:r>
          </w:p>
          <w:p>
            <w:pPr>
              <w:widowControl/>
              <w:jc w:val="center"/>
              <w:rPr>
                <w:rFonts w:ascii="Calibri" w:hAnsi="Calibri" w:eastAsia="宋体" w:cs="Times New Roman"/>
                <w:sz w:val="18"/>
                <w:szCs w:val="21"/>
              </w:rPr>
            </w:pPr>
            <w:r>
              <w:rPr>
                <w:rFonts w:ascii="Calibri" w:hAnsi="Calibri" w:eastAsia="宋体" w:cs="Times New Roman"/>
                <w:sz w:val="18"/>
                <w:szCs w:val="21"/>
              </w:rPr>
              <w:t>No switching 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trPr>
        <w:tc>
          <w:tcPr>
            <w:tcW w:w="459" w:type="pct"/>
            <w:vAlign w:val="center"/>
          </w:tcPr>
          <w:p>
            <w:pPr>
              <w:widowControl/>
              <w:jc w:val="center"/>
              <w:rPr>
                <w:rFonts w:ascii="Calibri" w:hAnsi="Calibri" w:eastAsia="宋体" w:cs="Times New Roman"/>
                <w:b/>
                <w:sz w:val="18"/>
                <w:szCs w:val="21"/>
              </w:rPr>
            </w:pPr>
            <w:r>
              <w:rPr>
                <w:rFonts w:ascii="Calibri" w:hAnsi="Calibri" w:eastAsia="宋体" w:cs="Times New Roman"/>
                <w:b/>
                <w:sz w:val="18"/>
                <w:szCs w:val="21"/>
              </w:rPr>
              <w:t>标志种类</w:t>
            </w:r>
          </w:p>
        </w:tc>
        <w:tc>
          <w:tcPr>
            <w:tcW w:w="1060" w:type="pct"/>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H.J</w:t>
            </w:r>
          </w:p>
        </w:tc>
        <w:tc>
          <w:tcPr>
            <w:tcW w:w="1212" w:type="pct"/>
            <w:gridSpan w:val="2"/>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J</w:t>
            </w:r>
          </w:p>
        </w:tc>
        <w:tc>
          <w:tcPr>
            <w:tcW w:w="1210" w:type="pct"/>
            <w:gridSpan w:val="2"/>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J</w:t>
            </w:r>
          </w:p>
        </w:tc>
        <w:tc>
          <w:tcPr>
            <w:tcW w:w="1059" w:type="pct"/>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8" w:hRule="atLeast"/>
        </w:trPr>
        <w:tc>
          <w:tcPr>
            <w:tcW w:w="459" w:type="pct"/>
            <w:vAlign w:val="center"/>
          </w:tcPr>
          <w:p>
            <w:pPr>
              <w:widowControl/>
              <w:jc w:val="center"/>
              <w:rPr>
                <w:rFonts w:ascii="Calibri" w:hAnsi="Calibri" w:eastAsia="宋体" w:cs="Times New Roman"/>
                <w:b/>
                <w:sz w:val="18"/>
                <w:szCs w:val="21"/>
              </w:rPr>
            </w:pPr>
            <w:r>
              <w:rPr>
                <w:rFonts w:ascii="Calibri" w:hAnsi="Calibri" w:eastAsia="宋体" w:cs="Times New Roman"/>
                <w:b/>
                <w:sz w:val="18"/>
                <w:szCs w:val="21"/>
              </w:rPr>
              <w:t>设置范围和地点</w:t>
            </w:r>
          </w:p>
        </w:tc>
        <w:tc>
          <w:tcPr>
            <w:tcW w:w="1060" w:type="pct"/>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具有明火设备或高温的作业场所，如：动火区，各种焊接、切割、锻造、浇注车间等场所。</w:t>
            </w:r>
          </w:p>
        </w:tc>
        <w:tc>
          <w:tcPr>
            <w:tcW w:w="1212" w:type="pct"/>
            <w:gridSpan w:val="2"/>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消防器材存放处，消防通道及车间主通道等。</w:t>
            </w:r>
          </w:p>
        </w:tc>
        <w:tc>
          <w:tcPr>
            <w:tcW w:w="1210" w:type="pct"/>
            <w:gridSpan w:val="2"/>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暂停使用的设备附近，如：设备检修、更换零件等。</w:t>
            </w:r>
          </w:p>
        </w:tc>
        <w:tc>
          <w:tcPr>
            <w:tcW w:w="1059" w:type="pct"/>
            <w:vAlign w:val="center"/>
          </w:tcPr>
          <w:p>
            <w:pPr>
              <w:widowControl/>
              <w:jc w:val="center"/>
              <w:rPr>
                <w:rFonts w:ascii="Calibri" w:hAnsi="Calibri" w:eastAsia="宋体" w:cs="Times New Roman"/>
                <w:sz w:val="18"/>
                <w:szCs w:val="21"/>
              </w:rPr>
            </w:pPr>
            <w:r>
              <w:rPr>
                <w:rFonts w:ascii="Calibri" w:hAnsi="Calibri" w:eastAsia="宋体" w:cs="Times New Roman"/>
                <w:sz w:val="18"/>
                <w:szCs w:val="21"/>
              </w:rPr>
              <w:t>设备或线路检修时，相应开关附近。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编号</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1－9</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1－10</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1－11</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图形标识</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869315" cy="869315"/>
                  <wp:effectExtent l="0" t="0" r="6985" b="6985"/>
                  <wp:docPr id="30915" name="图片 30915" descr="http://www.hbsafety.cn/article/UploadPic/2006-12/20061227119384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5" name="图片 30915" descr="http://www.hbsafety.cn/article/UploadPic/2006-12/2006122711938464.gif"/>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a:xfrm>
                            <a:off x="0" y="0"/>
                            <a:ext cx="884181" cy="884181"/>
                          </a:xfrm>
                          <a:prstGeom prst="rect">
                            <a:avLst/>
                          </a:prstGeom>
                          <a:noFill/>
                          <a:ln>
                            <a:noFill/>
                          </a:ln>
                        </pic:spPr>
                      </pic:pic>
                    </a:graphicData>
                  </a:graphic>
                </wp:inline>
              </w:drawing>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96950" cy="950595"/>
                  <wp:effectExtent l="0" t="0" r="0" b="1905"/>
                  <wp:docPr id="30916" name="图片 309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6" name="图片 30916" descr="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a:xfrm>
                            <a:off x="0" y="0"/>
                            <a:ext cx="1020453" cy="973089"/>
                          </a:xfrm>
                          <a:prstGeom prst="rect">
                            <a:avLst/>
                          </a:prstGeom>
                          <a:noFill/>
                          <a:ln>
                            <a:noFill/>
                          </a:ln>
                        </pic:spPr>
                      </pic:pic>
                    </a:graphicData>
                  </a:graphic>
                </wp:inline>
              </w:drawing>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04875" cy="904875"/>
                  <wp:effectExtent l="0" t="0" r="9525" b="9525"/>
                  <wp:docPr id="30917" name="图片 30917" descr="http://www.hbsafety.cn/article/UploadPic/2006-12/20061227119372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7" name="图片 30917" descr="http://www.hbsafety.cn/article/UploadPic/2006-12/2006122711937213.gif"/>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a:xfrm>
                            <a:off x="0" y="0"/>
                            <a:ext cx="919708" cy="919708"/>
                          </a:xfrm>
                          <a:prstGeom prst="rect">
                            <a:avLst/>
                          </a:prstGeom>
                          <a:noFill/>
                          <a:ln>
                            <a:noFill/>
                          </a:ln>
                        </pic:spPr>
                      </pic:pic>
                    </a:graphicData>
                  </a:graphic>
                </wp:inline>
              </w:drawing>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53770" cy="953770"/>
                  <wp:effectExtent l="0" t="0" r="0" b="0"/>
                  <wp:docPr id="30918" name="图片 30918" descr="http://www.hbsafety.cn/article/UploadPic/2006-12/20061227119385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8" name="图片 30918" descr="http://www.hbsafety.cn/article/UploadPic/2006-12/2006122711938527.gif"/>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a:xfrm>
                            <a:off x="0" y="0"/>
                            <a:ext cx="965480" cy="9654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名称</w:t>
            </w:r>
          </w:p>
        </w:tc>
        <w:tc>
          <w:tcPr>
            <w:tcW w:w="1210"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禁止转动</w:t>
            </w:r>
          </w:p>
          <w:p>
            <w:pPr>
              <w:widowControl/>
              <w:jc w:val="center"/>
              <w:rPr>
                <w:rFonts w:ascii="宋体" w:hAnsi="宋体" w:eastAsia="宋体" w:cs="Times New Roman"/>
                <w:sz w:val="18"/>
                <w:szCs w:val="18"/>
              </w:rPr>
            </w:pPr>
            <w:r>
              <w:rPr>
                <w:rFonts w:ascii="宋体" w:hAnsi="宋体" w:eastAsia="宋体" w:cs="Times New Roman"/>
                <w:sz w:val="18"/>
                <w:szCs w:val="18"/>
              </w:rPr>
              <w:t>No turning</w:t>
            </w:r>
          </w:p>
        </w:tc>
        <w:tc>
          <w:tcPr>
            <w:tcW w:w="1193"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禁止叉车和厂内机动车辆通行</w:t>
            </w:r>
          </w:p>
          <w:p>
            <w:pPr>
              <w:widowControl/>
              <w:jc w:val="center"/>
              <w:rPr>
                <w:rFonts w:ascii="宋体" w:hAnsi="宋体" w:eastAsia="宋体" w:cs="Times New Roman"/>
                <w:sz w:val="18"/>
                <w:szCs w:val="18"/>
              </w:rPr>
            </w:pPr>
            <w:r>
              <w:rPr>
                <w:rFonts w:ascii="宋体" w:hAnsi="宋体" w:eastAsia="宋体" w:cs="Times New Roman"/>
                <w:sz w:val="18"/>
                <w:szCs w:val="18"/>
              </w:rPr>
              <w:t>No access for fork lift trucks and other industrial vehicles</w:t>
            </w:r>
          </w:p>
        </w:tc>
        <w:tc>
          <w:tcPr>
            <w:tcW w:w="1077"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禁止乘人</w:t>
            </w:r>
          </w:p>
          <w:p>
            <w:pPr>
              <w:widowControl/>
              <w:jc w:val="center"/>
              <w:rPr>
                <w:rFonts w:ascii="宋体" w:hAnsi="宋体" w:eastAsia="宋体" w:cs="Times New Roman"/>
                <w:sz w:val="18"/>
                <w:szCs w:val="18"/>
              </w:rPr>
            </w:pPr>
            <w:r>
              <w:rPr>
                <w:rFonts w:ascii="宋体" w:hAnsi="宋体" w:eastAsia="宋体" w:cs="Times New Roman"/>
                <w:sz w:val="18"/>
                <w:szCs w:val="18"/>
              </w:rPr>
              <w:t>No riding</w:t>
            </w:r>
          </w:p>
        </w:tc>
        <w:tc>
          <w:tcPr>
            <w:tcW w:w="1061"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禁止靠近</w:t>
            </w:r>
          </w:p>
          <w:p>
            <w:pPr>
              <w:widowControl/>
              <w:jc w:val="center"/>
              <w:rPr>
                <w:rFonts w:ascii="宋体" w:hAnsi="宋体" w:eastAsia="宋体" w:cs="Times New Roman"/>
                <w:sz w:val="18"/>
                <w:szCs w:val="18"/>
              </w:rPr>
            </w:pPr>
            <w:r>
              <w:rPr>
                <w:rFonts w:ascii="宋体" w:hAnsi="宋体" w:eastAsia="宋体" w:cs="Times New Roman"/>
                <w:sz w:val="18"/>
                <w:szCs w:val="18"/>
              </w:rPr>
              <w:t>No nearing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标志种类</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J.H</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8"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设置范围和地点</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检修或专人定时操作的设备附近。</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禁止叉车和其他厂内机动车辆通行的场所。</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乘人易造成伤害的设施，如：室外运输吊篮、外操作载货电梯框架等。</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不允许靠近的危险区域，如：高压试验区、高压线、输变电设备的附近。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编号</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1－13</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1－14</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1－15</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3"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图形标识</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1019810" cy="1019810"/>
                  <wp:effectExtent l="0" t="0" r="8890" b="8890"/>
                  <wp:docPr id="30919" name="图片 30919" descr="http://www.hbsafety.cn/article/UploadPic/2006-12/20061227119387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9" name="图片 30919" descr="http://www.hbsafety.cn/article/UploadPic/2006-12/2006122711938780.gif"/>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a:xfrm>
                            <a:off x="0" y="0"/>
                            <a:ext cx="1023540" cy="1023540"/>
                          </a:xfrm>
                          <a:prstGeom prst="rect">
                            <a:avLst/>
                          </a:prstGeom>
                          <a:noFill/>
                          <a:ln>
                            <a:noFill/>
                          </a:ln>
                        </pic:spPr>
                      </pic:pic>
                    </a:graphicData>
                  </a:graphic>
                </wp:inline>
              </w:drawing>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1004570" cy="961390"/>
                  <wp:effectExtent l="0" t="0" r="5080" b="0"/>
                  <wp:docPr id="30920" name="图片 309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0" name="图片 30920" descr="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a:xfrm>
                            <a:off x="0" y="0"/>
                            <a:ext cx="1031510" cy="987048"/>
                          </a:xfrm>
                          <a:prstGeom prst="rect">
                            <a:avLst/>
                          </a:prstGeom>
                          <a:noFill/>
                          <a:ln>
                            <a:noFill/>
                          </a:ln>
                        </pic:spPr>
                      </pic:pic>
                    </a:graphicData>
                  </a:graphic>
                </wp:inline>
              </w:drawing>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53770" cy="953770"/>
                  <wp:effectExtent l="0" t="0" r="0" b="0"/>
                  <wp:docPr id="30921" name="图片 30921" descr="http://www.hbsafety.cn/article/UploadPic/2006-12/20061227119387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图片 30921" descr="http://www.hbsafety.cn/article/UploadPic/2006-12/2006122711938742.gif"/>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a:xfrm>
                            <a:off x="0" y="0"/>
                            <a:ext cx="960189" cy="960189"/>
                          </a:xfrm>
                          <a:prstGeom prst="rect">
                            <a:avLst/>
                          </a:prstGeom>
                          <a:noFill/>
                          <a:ln>
                            <a:noFill/>
                          </a:ln>
                        </pic:spPr>
                      </pic:pic>
                    </a:graphicData>
                  </a:graphic>
                </wp:inline>
              </w:drawing>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27735" cy="927735"/>
                  <wp:effectExtent l="0" t="0" r="5715" b="5715"/>
                  <wp:docPr id="30922" name="图片 30922" descr="http://www.hbsafety.cn/article/UploadPic/2006-12/20061227119388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2" name="图片 30922" descr="http://www.hbsafety.cn/article/UploadPic/2006-12/2006122711938800.gif"/>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a:xfrm>
                            <a:off x="0" y="0"/>
                            <a:ext cx="932636" cy="93263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名称</w:t>
            </w:r>
          </w:p>
        </w:tc>
        <w:tc>
          <w:tcPr>
            <w:tcW w:w="1210"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禁止入内</w:t>
            </w:r>
          </w:p>
          <w:p>
            <w:pPr>
              <w:widowControl/>
              <w:jc w:val="center"/>
              <w:rPr>
                <w:rFonts w:ascii="宋体" w:hAnsi="宋体" w:eastAsia="宋体" w:cs="Times New Roman"/>
                <w:sz w:val="18"/>
                <w:szCs w:val="18"/>
              </w:rPr>
            </w:pPr>
            <w:r>
              <w:rPr>
                <w:rFonts w:ascii="宋体" w:hAnsi="宋体" w:eastAsia="宋体" w:cs="Times New Roman"/>
                <w:sz w:val="18"/>
                <w:szCs w:val="18"/>
              </w:rPr>
              <w:t>No entering</w:t>
            </w:r>
          </w:p>
        </w:tc>
        <w:tc>
          <w:tcPr>
            <w:tcW w:w="1193"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禁止推动</w:t>
            </w:r>
          </w:p>
          <w:p>
            <w:pPr>
              <w:widowControl/>
              <w:jc w:val="center"/>
              <w:rPr>
                <w:rFonts w:ascii="宋体" w:hAnsi="宋体" w:eastAsia="宋体" w:cs="Times New Roman"/>
                <w:sz w:val="18"/>
                <w:szCs w:val="18"/>
              </w:rPr>
            </w:pPr>
            <w:r>
              <w:rPr>
                <w:rFonts w:ascii="宋体" w:hAnsi="宋体" w:eastAsia="宋体" w:cs="Times New Roman"/>
                <w:sz w:val="18"/>
                <w:szCs w:val="18"/>
              </w:rPr>
              <w:t>No pushing</w:t>
            </w:r>
          </w:p>
        </w:tc>
        <w:tc>
          <w:tcPr>
            <w:tcW w:w="1077"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禁止停留</w:t>
            </w:r>
          </w:p>
          <w:p>
            <w:pPr>
              <w:widowControl/>
              <w:jc w:val="center"/>
              <w:rPr>
                <w:rFonts w:ascii="宋体" w:hAnsi="宋体" w:eastAsia="宋体" w:cs="Times New Roman"/>
                <w:sz w:val="18"/>
                <w:szCs w:val="18"/>
              </w:rPr>
            </w:pPr>
            <w:r>
              <w:rPr>
                <w:rFonts w:ascii="宋体" w:hAnsi="宋体" w:eastAsia="宋体" w:cs="Times New Roman"/>
                <w:sz w:val="18"/>
                <w:szCs w:val="18"/>
              </w:rPr>
              <w:t>No stopping</w:t>
            </w:r>
          </w:p>
        </w:tc>
        <w:tc>
          <w:tcPr>
            <w:tcW w:w="1061"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禁止通行</w:t>
            </w:r>
          </w:p>
          <w:p>
            <w:pPr>
              <w:widowControl/>
              <w:jc w:val="center"/>
              <w:rPr>
                <w:rFonts w:ascii="宋体" w:hAnsi="宋体" w:eastAsia="宋体" w:cs="Times New Roman"/>
                <w:sz w:val="18"/>
                <w:szCs w:val="18"/>
              </w:rPr>
            </w:pPr>
            <w:r>
              <w:rPr>
                <w:rFonts w:ascii="宋体" w:hAnsi="宋体" w:eastAsia="宋体" w:cs="Times New Roman"/>
                <w:sz w:val="18"/>
                <w:szCs w:val="18"/>
              </w:rPr>
              <w:t>No throughfare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标志种类</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 J</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1" w:hRule="atLeast"/>
        </w:trPr>
        <w:tc>
          <w:tcPr>
            <w:tcW w:w="459" w:type="pct"/>
          </w:tcPr>
          <w:p>
            <w:pPr>
              <w:widowControl/>
              <w:jc w:val="center"/>
              <w:rPr>
                <w:rFonts w:ascii="宋体" w:hAnsi="宋体" w:eastAsia="宋体" w:cs="Times New Roman"/>
                <w:b/>
                <w:sz w:val="18"/>
                <w:szCs w:val="18"/>
              </w:rPr>
            </w:pPr>
            <w:r>
              <w:rPr>
                <w:rFonts w:ascii="宋体" w:hAnsi="宋体" w:eastAsia="宋体" w:cs="Times New Roman"/>
                <w:b/>
                <w:sz w:val="18"/>
                <w:szCs w:val="18"/>
              </w:rPr>
              <w:t>设置范围和地点</w:t>
            </w:r>
          </w:p>
        </w:tc>
        <w:tc>
          <w:tcPr>
            <w:tcW w:w="1210" w:type="pct"/>
            <w:gridSpan w:val="2"/>
          </w:tcPr>
          <w:p>
            <w:pPr>
              <w:widowControl/>
              <w:jc w:val="center"/>
              <w:rPr>
                <w:rFonts w:ascii="宋体" w:hAnsi="宋体" w:eastAsia="宋体" w:cs="Times New Roman"/>
                <w:sz w:val="18"/>
                <w:szCs w:val="18"/>
              </w:rPr>
            </w:pPr>
            <w:r>
              <w:rPr>
                <w:rFonts w:ascii="宋体" w:hAnsi="宋体" w:eastAsia="宋体" w:cs="Times New Roman"/>
                <w:sz w:val="18"/>
                <w:szCs w:val="18"/>
              </w:rPr>
              <w:t>易造成事故或对人员有伤害的场所，如：高压设备室、各种污染源等入口处。</w:t>
            </w:r>
          </w:p>
        </w:tc>
        <w:tc>
          <w:tcPr>
            <w:tcW w:w="1193" w:type="pct"/>
            <w:gridSpan w:val="2"/>
          </w:tcPr>
          <w:p>
            <w:pPr>
              <w:widowControl/>
              <w:jc w:val="center"/>
              <w:rPr>
                <w:rFonts w:ascii="宋体" w:hAnsi="宋体" w:eastAsia="宋体" w:cs="Times New Roman"/>
                <w:sz w:val="18"/>
                <w:szCs w:val="18"/>
              </w:rPr>
            </w:pPr>
            <w:r>
              <w:rPr>
                <w:rFonts w:ascii="宋体" w:hAnsi="宋体" w:eastAsia="宋体" w:cs="Times New Roman"/>
                <w:sz w:val="18"/>
                <w:szCs w:val="18"/>
              </w:rPr>
              <w:t>易于倾倒的装置或设备，如车站屏蔽门等。</w:t>
            </w:r>
          </w:p>
        </w:tc>
        <w:tc>
          <w:tcPr>
            <w:tcW w:w="1077" w:type="pct"/>
          </w:tcPr>
          <w:p>
            <w:pPr>
              <w:widowControl/>
              <w:jc w:val="center"/>
              <w:rPr>
                <w:rFonts w:ascii="宋体" w:hAnsi="宋体" w:eastAsia="宋体" w:cs="Times New Roman"/>
                <w:sz w:val="18"/>
                <w:szCs w:val="18"/>
              </w:rPr>
            </w:pPr>
            <w:r>
              <w:rPr>
                <w:rFonts w:ascii="宋体" w:hAnsi="宋体" w:eastAsia="宋体" w:cs="Times New Roman"/>
                <w:sz w:val="18"/>
                <w:szCs w:val="18"/>
              </w:rPr>
              <w:t>对人员具有直接危害的场所，如：粉碎场地、危险路口、桥口等处。</w:t>
            </w:r>
          </w:p>
        </w:tc>
        <w:tc>
          <w:tcPr>
            <w:tcW w:w="1061" w:type="pct"/>
          </w:tcPr>
          <w:p>
            <w:pPr>
              <w:widowControl/>
              <w:jc w:val="center"/>
              <w:rPr>
                <w:rFonts w:ascii="宋体" w:hAnsi="宋体" w:eastAsia="宋体" w:cs="Times New Roman"/>
                <w:sz w:val="18"/>
                <w:szCs w:val="18"/>
              </w:rPr>
            </w:pPr>
            <w:r>
              <w:rPr>
                <w:rFonts w:ascii="宋体" w:hAnsi="宋体" w:eastAsia="宋体" w:cs="Times New Roman"/>
                <w:sz w:val="18"/>
                <w:szCs w:val="18"/>
              </w:rPr>
              <w:t>有危险的作业区，如：起重、爆破现场，道路施工工地等。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编号</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1－17</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1－18</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1－19</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图形标识</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1023620" cy="1023620"/>
                  <wp:effectExtent l="0" t="0" r="5080" b="5080"/>
                  <wp:docPr id="30923" name="图片 30923" descr="http://www.hbsafety.cn/article/UploadPic/2006-12/20061227119382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3" name="图片 30923" descr="http://www.hbsafety.cn/article/UploadPic/2006-12/2006122711938288.gif"/>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a:xfrm>
                            <a:off x="0" y="0"/>
                            <a:ext cx="1031199" cy="1031199"/>
                          </a:xfrm>
                          <a:prstGeom prst="rect">
                            <a:avLst/>
                          </a:prstGeom>
                          <a:noFill/>
                          <a:ln>
                            <a:noFill/>
                          </a:ln>
                        </pic:spPr>
                      </pic:pic>
                    </a:graphicData>
                  </a:graphic>
                </wp:inline>
              </w:drawing>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99490" cy="999490"/>
                  <wp:effectExtent l="0" t="0" r="0" b="0"/>
                  <wp:docPr id="30924" name="图片 30924" descr="http://www.hbsafety.cn/article/UploadPic/2006-12/20061227119383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4" name="图片 30924" descr="http://www.hbsafety.cn/article/UploadPic/2006-12/2006122711938378.gif"/>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a:xfrm>
                            <a:off x="0" y="0"/>
                            <a:ext cx="1003882" cy="1003882"/>
                          </a:xfrm>
                          <a:prstGeom prst="rect">
                            <a:avLst/>
                          </a:prstGeom>
                          <a:noFill/>
                          <a:ln>
                            <a:noFill/>
                          </a:ln>
                        </pic:spPr>
                      </pic:pic>
                    </a:graphicData>
                  </a:graphic>
                </wp:inline>
              </w:drawing>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1010285" cy="1010285"/>
                  <wp:effectExtent l="0" t="0" r="0" b="0"/>
                  <wp:docPr id="30925" name="图片 30925" descr="http://www.hbsafety.cn/article/UploadPic/2006-12/20061227119386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5" name="图片 30925" descr="http://www.hbsafety.cn/article/UploadPic/2006-12/2006122711938691.gif"/>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a:xfrm>
                            <a:off x="0" y="0"/>
                            <a:ext cx="1019040" cy="1019040"/>
                          </a:xfrm>
                          <a:prstGeom prst="rect">
                            <a:avLst/>
                          </a:prstGeom>
                          <a:noFill/>
                          <a:ln>
                            <a:noFill/>
                          </a:ln>
                        </pic:spPr>
                      </pic:pic>
                    </a:graphicData>
                  </a:graphic>
                </wp:inline>
              </w:drawing>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1054100" cy="1007745"/>
                  <wp:effectExtent l="0" t="0" r="0" b="1905"/>
                  <wp:docPr id="30926" name="图片 309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6" name="图片 30926" descr="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a:xfrm>
                            <a:off x="0" y="0"/>
                            <a:ext cx="1093920" cy="1045942"/>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4"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名称</w:t>
            </w:r>
          </w:p>
        </w:tc>
        <w:tc>
          <w:tcPr>
            <w:tcW w:w="1210"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禁止跨越</w:t>
            </w:r>
          </w:p>
          <w:p>
            <w:pPr>
              <w:widowControl/>
              <w:jc w:val="center"/>
              <w:rPr>
                <w:rFonts w:ascii="宋体" w:hAnsi="宋体" w:eastAsia="宋体" w:cs="Times New Roman"/>
                <w:sz w:val="18"/>
                <w:szCs w:val="18"/>
              </w:rPr>
            </w:pPr>
            <w:r>
              <w:rPr>
                <w:rFonts w:ascii="宋体" w:hAnsi="宋体" w:eastAsia="宋体" w:cs="Times New Roman"/>
                <w:sz w:val="18"/>
                <w:szCs w:val="18"/>
              </w:rPr>
              <w:t>No striding</w:t>
            </w:r>
          </w:p>
        </w:tc>
        <w:tc>
          <w:tcPr>
            <w:tcW w:w="1193"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禁止攀登</w:t>
            </w:r>
          </w:p>
          <w:p>
            <w:pPr>
              <w:widowControl/>
              <w:jc w:val="center"/>
              <w:rPr>
                <w:rFonts w:ascii="宋体" w:hAnsi="宋体" w:eastAsia="宋体" w:cs="Times New Roman"/>
                <w:sz w:val="18"/>
                <w:szCs w:val="18"/>
              </w:rPr>
            </w:pPr>
            <w:r>
              <w:rPr>
                <w:rFonts w:ascii="宋体" w:hAnsi="宋体" w:eastAsia="宋体" w:cs="Times New Roman"/>
                <w:sz w:val="18"/>
                <w:szCs w:val="18"/>
              </w:rPr>
              <w:t>No climbing</w:t>
            </w:r>
          </w:p>
        </w:tc>
        <w:tc>
          <w:tcPr>
            <w:tcW w:w="1077"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禁止跳下</w:t>
            </w:r>
          </w:p>
          <w:p>
            <w:pPr>
              <w:widowControl/>
              <w:jc w:val="center"/>
              <w:rPr>
                <w:rFonts w:ascii="宋体" w:hAnsi="宋体" w:eastAsia="宋体" w:cs="Times New Roman"/>
                <w:sz w:val="18"/>
                <w:szCs w:val="18"/>
              </w:rPr>
            </w:pPr>
            <w:r>
              <w:rPr>
                <w:rFonts w:ascii="宋体" w:hAnsi="宋体" w:eastAsia="宋体" w:cs="Times New Roman"/>
                <w:sz w:val="18"/>
                <w:szCs w:val="18"/>
              </w:rPr>
              <w:t>No jumping down</w:t>
            </w:r>
          </w:p>
        </w:tc>
        <w:tc>
          <w:tcPr>
            <w:tcW w:w="1061"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禁止伸出窗外</w:t>
            </w:r>
          </w:p>
          <w:p>
            <w:pPr>
              <w:widowControl/>
              <w:jc w:val="center"/>
              <w:rPr>
                <w:rFonts w:ascii="宋体" w:hAnsi="宋体" w:eastAsia="宋体" w:cs="Times New Roman"/>
                <w:sz w:val="18"/>
                <w:szCs w:val="18"/>
              </w:rPr>
            </w:pPr>
            <w:r>
              <w:rPr>
                <w:rFonts w:ascii="宋体" w:hAnsi="宋体" w:eastAsia="宋体" w:cs="Times New Roman"/>
                <w:sz w:val="18"/>
                <w:szCs w:val="18"/>
              </w:rPr>
              <w:t>No stretching out of the window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标志种类</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设置范围和地点</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禁止跨越的危险地段，如：专用的运输通道、带式输送机和其他作业流水线，作业现场的沟、坎、坑等。</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不允许攀爬的危险地点，如：有坍塌危险的建筑物、构筑物、设备旁。</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不允许跳下的危险地点，如：深沟、深池、车站站台及盛装过有毒物质、易产生窒息气体的槽车、贮罐、地窖等处。</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易于造成头手伤害的部位或场所，如公交车窗、火车车窗等。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编号</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1－21</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1－22</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1－23</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图形标识</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58850" cy="937260"/>
                  <wp:effectExtent l="0" t="0" r="0" b="0"/>
                  <wp:docPr id="30927" name="图片 309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7" name="图片 30927" descr="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a:xfrm>
                            <a:off x="0" y="0"/>
                            <a:ext cx="973873" cy="951434"/>
                          </a:xfrm>
                          <a:prstGeom prst="rect">
                            <a:avLst/>
                          </a:prstGeom>
                          <a:noFill/>
                          <a:ln>
                            <a:noFill/>
                          </a:ln>
                        </pic:spPr>
                      </pic:pic>
                    </a:graphicData>
                  </a:graphic>
                </wp:inline>
              </w:drawing>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1029335" cy="998220"/>
                  <wp:effectExtent l="0" t="0" r="0" b="0"/>
                  <wp:docPr id="30928" name="图片 309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8" name="图片 30928" descr="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a:xfrm>
                            <a:off x="0" y="0"/>
                            <a:ext cx="1043944" cy="1012034"/>
                          </a:xfrm>
                          <a:prstGeom prst="rect">
                            <a:avLst/>
                          </a:prstGeom>
                          <a:noFill/>
                          <a:ln>
                            <a:noFill/>
                          </a:ln>
                        </pic:spPr>
                      </pic:pic>
                    </a:graphicData>
                  </a:graphic>
                </wp:inline>
              </w:drawing>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32815" cy="928370"/>
                  <wp:effectExtent l="0" t="0" r="635" b="5080"/>
                  <wp:docPr id="30929" name="图片 309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9" name="图片 30929" descr="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a:xfrm>
                            <a:off x="0" y="0"/>
                            <a:ext cx="948547" cy="944215"/>
                          </a:xfrm>
                          <a:prstGeom prst="rect">
                            <a:avLst/>
                          </a:prstGeom>
                          <a:noFill/>
                          <a:ln>
                            <a:noFill/>
                          </a:ln>
                        </pic:spPr>
                      </pic:pic>
                    </a:graphicData>
                  </a:graphic>
                </wp:inline>
              </w:drawing>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48055" cy="903605"/>
                  <wp:effectExtent l="0" t="0" r="4445" b="0"/>
                  <wp:docPr id="30930" name="图片 309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0" name="图片 30930" descr="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a:xfrm>
                            <a:off x="0" y="0"/>
                            <a:ext cx="965496" cy="91995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4"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名称</w:t>
            </w:r>
          </w:p>
        </w:tc>
        <w:tc>
          <w:tcPr>
            <w:tcW w:w="1210"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禁止倚靠</w:t>
            </w:r>
          </w:p>
          <w:p>
            <w:pPr>
              <w:widowControl/>
              <w:jc w:val="center"/>
              <w:rPr>
                <w:rFonts w:ascii="宋体" w:hAnsi="宋体" w:eastAsia="宋体" w:cs="Times New Roman"/>
                <w:sz w:val="18"/>
                <w:szCs w:val="18"/>
              </w:rPr>
            </w:pPr>
            <w:r>
              <w:rPr>
                <w:rFonts w:ascii="宋体" w:hAnsi="宋体" w:eastAsia="宋体" w:cs="Times New Roman"/>
                <w:sz w:val="18"/>
                <w:szCs w:val="18"/>
              </w:rPr>
              <w:t>No leaning</w:t>
            </w:r>
          </w:p>
        </w:tc>
        <w:tc>
          <w:tcPr>
            <w:tcW w:w="1193"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禁止坐卧</w:t>
            </w:r>
          </w:p>
          <w:p>
            <w:pPr>
              <w:widowControl/>
              <w:jc w:val="center"/>
              <w:rPr>
                <w:rFonts w:ascii="宋体" w:hAnsi="宋体" w:eastAsia="宋体" w:cs="Times New Roman"/>
                <w:sz w:val="18"/>
                <w:szCs w:val="18"/>
              </w:rPr>
            </w:pPr>
            <w:r>
              <w:rPr>
                <w:rFonts w:ascii="宋体" w:hAnsi="宋体" w:eastAsia="宋体" w:cs="Times New Roman"/>
                <w:sz w:val="18"/>
                <w:szCs w:val="18"/>
              </w:rPr>
              <w:t>No sitting</w:t>
            </w:r>
          </w:p>
        </w:tc>
        <w:tc>
          <w:tcPr>
            <w:tcW w:w="1077"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禁止蹬塌</w:t>
            </w:r>
          </w:p>
          <w:p>
            <w:pPr>
              <w:widowControl/>
              <w:jc w:val="center"/>
              <w:rPr>
                <w:rFonts w:ascii="宋体" w:hAnsi="宋体" w:eastAsia="宋体" w:cs="Times New Roman"/>
                <w:sz w:val="18"/>
                <w:szCs w:val="18"/>
              </w:rPr>
            </w:pPr>
            <w:r>
              <w:rPr>
                <w:rFonts w:ascii="宋体" w:hAnsi="宋体" w:eastAsia="宋体" w:cs="Times New Roman"/>
                <w:sz w:val="18"/>
                <w:szCs w:val="18"/>
              </w:rPr>
              <w:t>No steeping on surface</w:t>
            </w:r>
          </w:p>
        </w:tc>
        <w:tc>
          <w:tcPr>
            <w:tcW w:w="1061"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禁止触摸</w:t>
            </w:r>
          </w:p>
          <w:p>
            <w:pPr>
              <w:widowControl/>
              <w:jc w:val="center"/>
              <w:rPr>
                <w:rFonts w:ascii="宋体" w:hAnsi="宋体" w:eastAsia="宋体" w:cs="Times New Roman"/>
                <w:sz w:val="18"/>
                <w:szCs w:val="18"/>
              </w:rPr>
            </w:pPr>
            <w:r>
              <w:rPr>
                <w:rFonts w:ascii="宋体" w:hAnsi="宋体" w:eastAsia="宋体" w:cs="Times New Roman"/>
                <w:sz w:val="18"/>
                <w:szCs w:val="18"/>
              </w:rPr>
              <w:t>No touching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标志种类</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设置范围和地点</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不能依靠的地点或部位，如列车车门、车站屏蔽门、电梯轿门等。</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高温、腐蚀性、塌陷、坠落、翻转、易损等易于造成人员伤害的设备设施表面。</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高温、腐蚀性、塌陷、坠落、翻转、易损等易于造成人员伤害的设备设施表面。</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禁止触摸的设备或物体附近，如：裸露的带电体，炽热物体，具有毒性、腐蚀性物体等处。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编号</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1－25</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1－26</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1－27</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图形标识</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29005" cy="905510"/>
                  <wp:effectExtent l="0" t="0" r="4445" b="8890"/>
                  <wp:docPr id="30931" name="图片 30931" descr="禁止伸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1" name="图片 30931" descr="禁止伸入"/>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a:xfrm>
                            <a:off x="0" y="0"/>
                            <a:ext cx="942853" cy="918983"/>
                          </a:xfrm>
                          <a:prstGeom prst="rect">
                            <a:avLst/>
                          </a:prstGeom>
                          <a:noFill/>
                          <a:ln>
                            <a:noFill/>
                          </a:ln>
                        </pic:spPr>
                      </pic:pic>
                    </a:graphicData>
                  </a:graphic>
                </wp:inline>
              </w:drawing>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41705" cy="941705"/>
                  <wp:effectExtent l="0" t="0" r="0" b="0"/>
                  <wp:docPr id="30932" name="图片 30932" descr="http://www.hbsafety.cn/article/UploadPic/2006-12/20061227119383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2" name="图片 30932" descr="http://www.hbsafety.cn/article/UploadPic/2006-12/2006122711938308.gif"/>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a:xfrm>
                            <a:off x="0" y="0"/>
                            <a:ext cx="947208" cy="947208"/>
                          </a:xfrm>
                          <a:prstGeom prst="rect">
                            <a:avLst/>
                          </a:prstGeom>
                          <a:noFill/>
                          <a:ln>
                            <a:noFill/>
                          </a:ln>
                        </pic:spPr>
                      </pic:pic>
                    </a:graphicData>
                  </a:graphic>
                </wp:inline>
              </w:drawing>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25830" cy="925830"/>
                  <wp:effectExtent l="0" t="0" r="7620" b="7620"/>
                  <wp:docPr id="30933" name="图片 30933" descr="http://www.hbsafety.cn/article/UploadPic/2006-12/20061227119383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3" name="图片 30933" descr="http://www.hbsafety.cn/article/UploadPic/2006-12/2006122711938377.gif"/>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a:xfrm>
                            <a:off x="0" y="0"/>
                            <a:ext cx="933151" cy="933151"/>
                          </a:xfrm>
                          <a:prstGeom prst="rect">
                            <a:avLst/>
                          </a:prstGeom>
                          <a:noFill/>
                          <a:ln>
                            <a:noFill/>
                          </a:ln>
                        </pic:spPr>
                      </pic:pic>
                    </a:graphicData>
                  </a:graphic>
                </wp:inline>
              </w:drawing>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04240" cy="904240"/>
                  <wp:effectExtent l="0" t="0" r="0" b="0"/>
                  <wp:docPr id="30934" name="图片 30934" descr="http://www.hbsafety.cn/article/UploadPic/2006-12/20061227119386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4" name="图片 30934" descr="http://www.hbsafety.cn/article/UploadPic/2006-12/2006122711938634.gif"/>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a:xfrm>
                            <a:off x="0" y="0"/>
                            <a:ext cx="910470" cy="9104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8"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名称</w:t>
            </w:r>
          </w:p>
        </w:tc>
        <w:tc>
          <w:tcPr>
            <w:tcW w:w="1210"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禁止伸入</w:t>
            </w:r>
          </w:p>
          <w:p>
            <w:pPr>
              <w:widowControl/>
              <w:jc w:val="center"/>
              <w:rPr>
                <w:rFonts w:ascii="宋体" w:hAnsi="宋体" w:eastAsia="宋体" w:cs="Times New Roman"/>
                <w:sz w:val="18"/>
                <w:szCs w:val="18"/>
              </w:rPr>
            </w:pPr>
            <w:r>
              <w:rPr>
                <w:rFonts w:ascii="宋体" w:hAnsi="宋体" w:eastAsia="宋体" w:cs="Times New Roman"/>
                <w:sz w:val="18"/>
                <w:szCs w:val="18"/>
              </w:rPr>
              <w:t>No reaching in</w:t>
            </w:r>
          </w:p>
        </w:tc>
        <w:tc>
          <w:tcPr>
            <w:tcW w:w="1193"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禁止饮用</w:t>
            </w:r>
          </w:p>
          <w:p>
            <w:pPr>
              <w:widowControl/>
              <w:jc w:val="center"/>
              <w:rPr>
                <w:rFonts w:ascii="宋体" w:hAnsi="宋体" w:eastAsia="宋体" w:cs="Times New Roman"/>
                <w:sz w:val="18"/>
                <w:szCs w:val="18"/>
              </w:rPr>
            </w:pPr>
            <w:r>
              <w:rPr>
                <w:rFonts w:ascii="宋体" w:hAnsi="宋体" w:eastAsia="宋体" w:cs="Times New Roman"/>
                <w:sz w:val="18"/>
                <w:szCs w:val="18"/>
              </w:rPr>
              <w:t>No drinking</w:t>
            </w:r>
          </w:p>
        </w:tc>
        <w:tc>
          <w:tcPr>
            <w:tcW w:w="1077"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禁止抛物</w:t>
            </w:r>
          </w:p>
          <w:p>
            <w:pPr>
              <w:widowControl/>
              <w:jc w:val="center"/>
              <w:rPr>
                <w:rFonts w:ascii="宋体" w:hAnsi="宋体" w:eastAsia="宋体" w:cs="Times New Roman"/>
                <w:sz w:val="18"/>
                <w:szCs w:val="18"/>
              </w:rPr>
            </w:pPr>
            <w:r>
              <w:rPr>
                <w:rFonts w:ascii="宋体" w:hAnsi="宋体" w:eastAsia="宋体" w:cs="Times New Roman"/>
                <w:sz w:val="18"/>
                <w:szCs w:val="18"/>
              </w:rPr>
              <w:t>No tossing</w:t>
            </w:r>
          </w:p>
        </w:tc>
        <w:tc>
          <w:tcPr>
            <w:tcW w:w="1061"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禁止戴手套</w:t>
            </w:r>
          </w:p>
          <w:p>
            <w:pPr>
              <w:widowControl/>
              <w:jc w:val="center"/>
              <w:rPr>
                <w:rFonts w:ascii="宋体" w:hAnsi="宋体" w:eastAsia="宋体" w:cs="Times New Roman"/>
                <w:sz w:val="18"/>
                <w:szCs w:val="18"/>
              </w:rPr>
            </w:pPr>
            <w:r>
              <w:rPr>
                <w:rFonts w:ascii="宋体" w:hAnsi="宋体" w:eastAsia="宋体" w:cs="Times New Roman"/>
                <w:sz w:val="18"/>
                <w:szCs w:val="18"/>
              </w:rPr>
              <w:t>No putting on gloves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标志种类</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设置范围和地点</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易于夹住身体部位的装置或场所，如有开口的传动机、破碎机等。</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禁止饮用水的开关处，如：循环水、工业用水、污染水等。</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抛物易伤人的地点，如：高处作业现场，深沟（坑）等。</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戴手套易造成手部伤害的作业地点，如：旋转的机械加工设备附近。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编号</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1－29</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1－30</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1－31</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9"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图形标识</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46785" cy="946785"/>
                  <wp:effectExtent l="0" t="0" r="5715" b="5715"/>
                  <wp:docPr id="30935" name="图片 30935" descr="http://www.hbsafety.cn/article/UploadPic/2006-12/20061227119373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图片 30935" descr="http://www.hbsafety.cn/article/UploadPic/2006-12/2006122711937312.gif"/>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a:xfrm>
                            <a:off x="0" y="0"/>
                            <a:ext cx="951708" cy="951708"/>
                          </a:xfrm>
                          <a:prstGeom prst="rect">
                            <a:avLst/>
                          </a:prstGeom>
                          <a:noFill/>
                          <a:ln>
                            <a:noFill/>
                          </a:ln>
                        </pic:spPr>
                      </pic:pic>
                    </a:graphicData>
                  </a:graphic>
                </wp:inline>
              </w:drawing>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kern w:val="0"/>
                <w:sz w:val="18"/>
                <w:szCs w:val="18"/>
              </w:rPr>
              <w:drawing>
                <wp:inline distT="0" distB="0" distL="0" distR="0">
                  <wp:extent cx="901065" cy="901065"/>
                  <wp:effectExtent l="0" t="0" r="0" b="0"/>
                  <wp:docPr id="30936" name="图片 30936" descr="http://www.hbsafety.cn/article/UploadPic/2006-12/20061227119376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6" name="图片 30936" descr="http://www.hbsafety.cn/article/UploadPic/2006-12/2006122711937605.gif"/>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a:xfrm>
                            <a:off x="0" y="0"/>
                            <a:ext cx="911670" cy="911670"/>
                          </a:xfrm>
                          <a:prstGeom prst="rect">
                            <a:avLst/>
                          </a:prstGeom>
                          <a:noFill/>
                          <a:ln>
                            <a:noFill/>
                          </a:ln>
                        </pic:spPr>
                      </pic:pic>
                    </a:graphicData>
                  </a:graphic>
                </wp:inline>
              </w:drawing>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29640" cy="917575"/>
                  <wp:effectExtent l="0" t="0" r="3810" b="0"/>
                  <wp:docPr id="30937" name="图片 30937" descr="禁止开启无线移动通讯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7" name="图片 30937" descr="禁止开启无线移动通讯设备"/>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a:xfrm>
                            <a:off x="0" y="0"/>
                            <a:ext cx="943392" cy="931140"/>
                          </a:xfrm>
                          <a:prstGeom prst="rect">
                            <a:avLst/>
                          </a:prstGeom>
                          <a:noFill/>
                          <a:ln>
                            <a:noFill/>
                          </a:ln>
                        </pic:spPr>
                      </pic:pic>
                    </a:graphicData>
                  </a:graphic>
                </wp:inline>
              </w:drawing>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50595" cy="925830"/>
                  <wp:effectExtent l="0" t="0" r="1905" b="7620"/>
                  <wp:docPr id="30938" name="图片 30938" descr="禁止携带金属物或手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8" name="图片 30938" descr="禁止携带金属物或手表"/>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a:xfrm>
                            <a:off x="0" y="0"/>
                            <a:ext cx="968057" cy="943129"/>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6"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名称</w:t>
            </w:r>
          </w:p>
        </w:tc>
        <w:tc>
          <w:tcPr>
            <w:tcW w:w="1210"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禁止穿化纤服装</w:t>
            </w:r>
          </w:p>
          <w:p>
            <w:pPr>
              <w:widowControl/>
              <w:jc w:val="center"/>
              <w:rPr>
                <w:rFonts w:ascii="宋体" w:hAnsi="宋体" w:eastAsia="宋体" w:cs="Times New Roman"/>
                <w:sz w:val="18"/>
                <w:szCs w:val="18"/>
              </w:rPr>
            </w:pPr>
            <w:r>
              <w:rPr>
                <w:rFonts w:ascii="宋体" w:hAnsi="宋体" w:eastAsia="宋体" w:cs="Times New Roman"/>
                <w:sz w:val="18"/>
                <w:szCs w:val="18"/>
              </w:rPr>
              <w:t>No putting on chemical fibre clothings</w:t>
            </w:r>
          </w:p>
        </w:tc>
        <w:tc>
          <w:tcPr>
            <w:tcW w:w="1193"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禁止穿带钉鞋</w:t>
            </w:r>
          </w:p>
          <w:p>
            <w:pPr>
              <w:widowControl/>
              <w:jc w:val="center"/>
              <w:rPr>
                <w:rFonts w:ascii="宋体" w:hAnsi="宋体" w:eastAsia="宋体" w:cs="Times New Roman"/>
                <w:sz w:val="18"/>
                <w:szCs w:val="18"/>
              </w:rPr>
            </w:pPr>
            <w:r>
              <w:rPr>
                <w:rFonts w:ascii="宋体" w:hAnsi="宋体" w:eastAsia="宋体" w:cs="Times New Roman"/>
                <w:sz w:val="18"/>
                <w:szCs w:val="18"/>
              </w:rPr>
              <w:t>No putting on spikes</w:t>
            </w:r>
          </w:p>
        </w:tc>
        <w:tc>
          <w:tcPr>
            <w:tcW w:w="1077"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禁止开启无线移动通讯设备</w:t>
            </w:r>
          </w:p>
          <w:p>
            <w:pPr>
              <w:widowControl/>
              <w:jc w:val="center"/>
              <w:rPr>
                <w:rFonts w:ascii="宋体" w:hAnsi="宋体" w:eastAsia="宋体" w:cs="Times New Roman"/>
                <w:sz w:val="18"/>
                <w:szCs w:val="18"/>
              </w:rPr>
            </w:pPr>
            <w:r>
              <w:rPr>
                <w:rFonts w:ascii="宋体" w:hAnsi="宋体" w:eastAsia="宋体" w:cs="Times New Roman"/>
                <w:sz w:val="18"/>
                <w:szCs w:val="18"/>
              </w:rPr>
              <w:t>No activated mobile phones</w:t>
            </w:r>
          </w:p>
        </w:tc>
        <w:tc>
          <w:tcPr>
            <w:tcW w:w="1061"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禁止携带金属物或手表</w:t>
            </w:r>
          </w:p>
          <w:p>
            <w:pPr>
              <w:widowControl/>
              <w:jc w:val="center"/>
              <w:rPr>
                <w:rFonts w:ascii="宋体" w:hAnsi="宋体" w:eastAsia="宋体" w:cs="Times New Roman"/>
                <w:sz w:val="18"/>
                <w:szCs w:val="18"/>
              </w:rPr>
            </w:pPr>
            <w:r>
              <w:rPr>
                <w:rFonts w:ascii="宋体" w:hAnsi="宋体" w:eastAsia="宋体" w:cs="Times New Roman"/>
                <w:sz w:val="18"/>
                <w:szCs w:val="18"/>
              </w:rPr>
              <w:t>No metallic articles or watches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标志种类</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6"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设置范围和地点</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有静电火花会导致灾害或有炽热物质的作业场所，如：冶炼、焊接及有易燃易爆物质的场所等。</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有静电火花会导致灾害或有触电危险的作业场所，如：有易燃易爆气体或粉尘的车间及带电作业场所。</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火灾、爆炸场所以及可能产生电磁干扰的场所，如加油站、飞行中的航天器、油库、化工装置区等。</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易受到金属物品干扰的微波和电磁场所，如磁共振室等。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编号</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1－33</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1－34</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1－35</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1"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图形标识</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86790" cy="973455"/>
                  <wp:effectExtent l="0" t="0" r="3810" b="0"/>
                  <wp:docPr id="30939" name="图片 30939" descr="禁止佩戴心脏起搏器者靠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9" name="图片 30939" descr="禁止佩戴心脏起搏器者靠近"/>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a:xfrm>
                            <a:off x="0" y="0"/>
                            <a:ext cx="1005641" cy="992052"/>
                          </a:xfrm>
                          <a:prstGeom prst="rect">
                            <a:avLst/>
                          </a:prstGeom>
                          <a:noFill/>
                          <a:ln>
                            <a:noFill/>
                          </a:ln>
                        </pic:spPr>
                      </pic:pic>
                    </a:graphicData>
                  </a:graphic>
                </wp:inline>
              </w:drawing>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54405" cy="908685"/>
                  <wp:effectExtent l="0" t="0" r="0" b="5715"/>
                  <wp:docPr id="30940" name="图片 30940" descr="禁止植入金属材料者靠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0" name="图片 30940" descr="禁止植入金属材料者靠近"/>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a:xfrm>
                            <a:off x="0" y="0"/>
                            <a:ext cx="972247" cy="925340"/>
                          </a:xfrm>
                          <a:prstGeom prst="rect">
                            <a:avLst/>
                          </a:prstGeom>
                          <a:noFill/>
                          <a:ln>
                            <a:noFill/>
                          </a:ln>
                        </pic:spPr>
                      </pic:pic>
                    </a:graphicData>
                  </a:graphic>
                </wp:inline>
              </w:drawing>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46785" cy="942975"/>
                  <wp:effectExtent l="0" t="0" r="5715" b="0"/>
                  <wp:docPr id="30941" name="图片 30941" descr="禁止游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1" name="图片 30941" descr="禁止游泳"/>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a:xfrm>
                            <a:off x="0" y="0"/>
                            <a:ext cx="964558" cy="960213"/>
                          </a:xfrm>
                          <a:prstGeom prst="rect">
                            <a:avLst/>
                          </a:prstGeom>
                          <a:noFill/>
                          <a:ln>
                            <a:noFill/>
                          </a:ln>
                        </pic:spPr>
                      </pic:pic>
                    </a:graphicData>
                  </a:graphic>
                </wp:inline>
              </w:drawing>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29005" cy="885190"/>
                  <wp:effectExtent l="0" t="0" r="4445" b="0"/>
                  <wp:docPr id="30942" name="图片 30942" descr="禁止滑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2" name="图片 30942" descr="禁止滑冰"/>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a:xfrm>
                            <a:off x="0" y="0"/>
                            <a:ext cx="943582" cy="899602"/>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6"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名称</w:t>
            </w:r>
          </w:p>
        </w:tc>
        <w:tc>
          <w:tcPr>
            <w:tcW w:w="1210"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禁止佩戴心脏起搏器者靠近</w:t>
            </w:r>
          </w:p>
          <w:p>
            <w:pPr>
              <w:widowControl/>
              <w:jc w:val="center"/>
              <w:rPr>
                <w:rFonts w:ascii="宋体" w:hAnsi="宋体" w:eastAsia="宋体" w:cs="Times New Roman"/>
                <w:sz w:val="18"/>
                <w:szCs w:val="18"/>
              </w:rPr>
            </w:pPr>
            <w:r>
              <w:rPr>
                <w:rFonts w:ascii="宋体" w:hAnsi="宋体" w:eastAsia="宋体" w:cs="Times New Roman"/>
                <w:sz w:val="18"/>
                <w:szCs w:val="18"/>
              </w:rPr>
              <w:t>No access for persons with pacemakers</w:t>
            </w:r>
          </w:p>
        </w:tc>
        <w:tc>
          <w:tcPr>
            <w:tcW w:w="1193" w:type="pct"/>
            <w:gridSpan w:val="2"/>
            <w:vAlign w:val="center"/>
          </w:tcPr>
          <w:p>
            <w:pPr>
              <w:jc w:val="center"/>
              <w:rPr>
                <w:rFonts w:ascii="宋体" w:hAnsi="宋体" w:eastAsia="宋体" w:cs="Times New Roman"/>
                <w:sz w:val="18"/>
                <w:szCs w:val="18"/>
              </w:rPr>
            </w:pPr>
            <w:r>
              <w:rPr>
                <w:rFonts w:ascii="宋体" w:hAnsi="宋体" w:eastAsia="宋体" w:cs="Times New Roman"/>
                <w:sz w:val="18"/>
                <w:szCs w:val="18"/>
              </w:rPr>
              <w:t>禁止植入金属材料者靠近</w:t>
            </w:r>
          </w:p>
          <w:p>
            <w:pPr>
              <w:widowControl/>
              <w:jc w:val="center"/>
              <w:rPr>
                <w:rFonts w:ascii="宋体" w:hAnsi="宋体" w:eastAsia="宋体" w:cs="Times New Roman"/>
                <w:sz w:val="18"/>
                <w:szCs w:val="18"/>
              </w:rPr>
            </w:pPr>
            <w:r>
              <w:rPr>
                <w:rFonts w:ascii="宋体" w:hAnsi="宋体" w:eastAsia="宋体" w:cs="Times New Roman"/>
                <w:sz w:val="18"/>
                <w:szCs w:val="18"/>
              </w:rPr>
              <w:t>No acdess for persons with metallic implants</w:t>
            </w:r>
          </w:p>
        </w:tc>
        <w:tc>
          <w:tcPr>
            <w:tcW w:w="1077"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禁止游泳</w:t>
            </w:r>
          </w:p>
          <w:p>
            <w:pPr>
              <w:widowControl/>
              <w:jc w:val="center"/>
              <w:rPr>
                <w:rFonts w:ascii="宋体" w:hAnsi="宋体" w:eastAsia="宋体" w:cs="Times New Roman"/>
                <w:sz w:val="18"/>
                <w:szCs w:val="18"/>
              </w:rPr>
            </w:pPr>
            <w:r>
              <w:rPr>
                <w:rFonts w:ascii="宋体" w:hAnsi="宋体" w:eastAsia="宋体" w:cs="Times New Roman"/>
                <w:sz w:val="18"/>
                <w:szCs w:val="18"/>
              </w:rPr>
              <w:t>No swimming</w:t>
            </w:r>
          </w:p>
        </w:tc>
        <w:tc>
          <w:tcPr>
            <w:tcW w:w="1061" w:type="pct"/>
            <w:vAlign w:val="center"/>
          </w:tcPr>
          <w:p>
            <w:pPr>
              <w:jc w:val="center"/>
              <w:rPr>
                <w:rFonts w:ascii="宋体" w:hAnsi="宋体" w:eastAsia="宋体" w:cs="Times New Roman"/>
                <w:sz w:val="18"/>
                <w:szCs w:val="18"/>
              </w:rPr>
            </w:pPr>
            <w:r>
              <w:rPr>
                <w:rFonts w:ascii="宋体" w:hAnsi="宋体" w:eastAsia="宋体" w:cs="Times New Roman"/>
                <w:sz w:val="18"/>
                <w:szCs w:val="18"/>
              </w:rPr>
              <w:t>禁止滑冰</w:t>
            </w:r>
          </w:p>
          <w:p>
            <w:pPr>
              <w:widowControl/>
              <w:jc w:val="center"/>
              <w:rPr>
                <w:rFonts w:ascii="宋体" w:hAnsi="宋体" w:eastAsia="宋体" w:cs="Times New Roman"/>
                <w:sz w:val="18"/>
                <w:szCs w:val="18"/>
              </w:rPr>
            </w:pPr>
            <w:r>
              <w:rPr>
                <w:rFonts w:ascii="宋体" w:hAnsi="宋体" w:eastAsia="宋体" w:cs="Times New Roman"/>
                <w:sz w:val="18"/>
                <w:szCs w:val="18"/>
              </w:rPr>
              <w:t>No skating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5"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标志种类</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J</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设置范围和地点</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安装人工起搏器者禁止靠近高压设备、大型电机、发电机、电动机、雷达和有强磁场设备等。</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易受到金属物品干扰的微波和电磁场所，如磁共振室等。</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禁止游泳的水域。</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禁止滑冰的场所。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编号</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1－37</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1－38</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1－39</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9"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图形标识</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49960" cy="929640"/>
                  <wp:effectExtent l="0" t="0" r="2540" b="3810"/>
                  <wp:docPr id="30943" name="图片 30943" descr="禁止携带武器及仿真武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3" name="图片 30943" descr="禁止携带武器及仿真武器"/>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a:xfrm>
                            <a:off x="0" y="0"/>
                            <a:ext cx="974454" cy="953631"/>
                          </a:xfrm>
                          <a:prstGeom prst="rect">
                            <a:avLst/>
                          </a:prstGeom>
                          <a:noFill/>
                          <a:ln>
                            <a:noFill/>
                          </a:ln>
                        </pic:spPr>
                      </pic:pic>
                    </a:graphicData>
                  </a:graphic>
                </wp:inline>
              </w:drawing>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60755" cy="948690"/>
                  <wp:effectExtent l="0" t="0" r="0" b="3810"/>
                  <wp:docPr id="30944" name="图片 30944" descr="禁止携带托运易燃及易爆物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4" name="图片 30944" descr="禁止携带托运易燃及易爆物品"/>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a:xfrm>
                            <a:off x="0" y="0"/>
                            <a:ext cx="984390" cy="971982"/>
                          </a:xfrm>
                          <a:prstGeom prst="rect">
                            <a:avLst/>
                          </a:prstGeom>
                          <a:noFill/>
                          <a:ln>
                            <a:noFill/>
                          </a:ln>
                        </pic:spPr>
                      </pic:pic>
                    </a:graphicData>
                  </a:graphic>
                </wp:inline>
              </w:drawing>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1017270" cy="971550"/>
                  <wp:effectExtent l="0" t="0" r="0" b="0"/>
                  <wp:docPr id="30945" name="图片 30945" descr="禁止携带托运有毒物品及有害液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5" name="图片 30945" descr="禁止携带托运有毒物品及有害液体"/>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a:xfrm>
                            <a:off x="0" y="0"/>
                            <a:ext cx="1037751" cy="990968"/>
                          </a:xfrm>
                          <a:prstGeom prst="rect">
                            <a:avLst/>
                          </a:prstGeom>
                          <a:noFill/>
                          <a:ln>
                            <a:noFill/>
                          </a:ln>
                        </pic:spPr>
                      </pic:pic>
                    </a:graphicData>
                  </a:graphic>
                </wp:inline>
              </w:drawing>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drawing>
                <wp:inline distT="0" distB="0" distL="0" distR="0">
                  <wp:extent cx="968375" cy="968375"/>
                  <wp:effectExtent l="0" t="0" r="3175" b="3175"/>
                  <wp:docPr id="30946" name="图片 30946" descr="禁止携带托运放射性及磁性物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6" name="图片 30946" descr="禁止携带托运放射性及磁性物品"/>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a:xfrm>
                            <a:off x="0" y="0"/>
                            <a:ext cx="980117" cy="980117"/>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名称</w:t>
            </w:r>
          </w:p>
        </w:tc>
        <w:tc>
          <w:tcPr>
            <w:tcW w:w="1210" w:type="pct"/>
            <w:gridSpan w:val="2"/>
            <w:vAlign w:val="center"/>
          </w:tcPr>
          <w:p>
            <w:pPr>
              <w:spacing w:line="360" w:lineRule="auto"/>
              <w:jc w:val="center"/>
              <w:rPr>
                <w:rFonts w:ascii="宋体" w:hAnsi="宋体" w:eastAsia="宋体" w:cs="Times New Roman"/>
                <w:sz w:val="18"/>
                <w:szCs w:val="18"/>
              </w:rPr>
            </w:pPr>
            <w:r>
              <w:rPr>
                <w:rFonts w:ascii="宋体" w:hAnsi="宋体" w:eastAsia="宋体" w:cs="Times New Roman"/>
                <w:sz w:val="18"/>
                <w:szCs w:val="18"/>
              </w:rPr>
              <w:t>禁止携带武器及仿真武器</w:t>
            </w:r>
          </w:p>
          <w:p>
            <w:pPr>
              <w:widowControl/>
              <w:jc w:val="center"/>
              <w:rPr>
                <w:rFonts w:ascii="宋体" w:hAnsi="宋体" w:eastAsia="宋体" w:cs="Times New Roman"/>
                <w:sz w:val="18"/>
                <w:szCs w:val="18"/>
              </w:rPr>
            </w:pPr>
            <w:r>
              <w:rPr>
                <w:rFonts w:ascii="宋体" w:hAnsi="宋体" w:eastAsia="宋体" w:cs="Times New Roman"/>
                <w:sz w:val="18"/>
                <w:szCs w:val="18"/>
              </w:rPr>
              <w:t>No carrying weapons and emulating weapons</w:t>
            </w:r>
          </w:p>
        </w:tc>
        <w:tc>
          <w:tcPr>
            <w:tcW w:w="1193" w:type="pct"/>
            <w:gridSpan w:val="2"/>
            <w:vAlign w:val="center"/>
          </w:tcPr>
          <w:p>
            <w:pPr>
              <w:spacing w:line="360" w:lineRule="auto"/>
              <w:jc w:val="center"/>
              <w:rPr>
                <w:rFonts w:ascii="宋体" w:hAnsi="宋体" w:eastAsia="宋体" w:cs="Times New Roman"/>
                <w:sz w:val="18"/>
                <w:szCs w:val="18"/>
              </w:rPr>
            </w:pPr>
            <w:r>
              <w:rPr>
                <w:rFonts w:ascii="宋体" w:hAnsi="宋体" w:eastAsia="宋体" w:cs="Times New Roman"/>
                <w:sz w:val="18"/>
                <w:szCs w:val="18"/>
              </w:rPr>
              <w:t>禁止携带托运易燃及易爆物品</w:t>
            </w:r>
          </w:p>
          <w:p>
            <w:pPr>
              <w:widowControl/>
              <w:jc w:val="center"/>
              <w:rPr>
                <w:rFonts w:ascii="宋体" w:hAnsi="宋体" w:eastAsia="宋体" w:cs="Times New Roman"/>
                <w:sz w:val="18"/>
                <w:szCs w:val="18"/>
              </w:rPr>
            </w:pPr>
            <w:r>
              <w:rPr>
                <w:rFonts w:ascii="宋体" w:hAnsi="宋体" w:eastAsia="宋体" w:cs="Times New Roman"/>
                <w:sz w:val="18"/>
                <w:szCs w:val="18"/>
              </w:rPr>
              <w:t>No carrying flammable and explosive moteri</w:t>
            </w:r>
          </w:p>
        </w:tc>
        <w:tc>
          <w:tcPr>
            <w:tcW w:w="1077" w:type="pct"/>
            <w:vAlign w:val="center"/>
          </w:tcPr>
          <w:p>
            <w:pPr>
              <w:spacing w:line="360" w:lineRule="auto"/>
              <w:jc w:val="center"/>
              <w:rPr>
                <w:rFonts w:ascii="宋体" w:hAnsi="宋体" w:eastAsia="宋体" w:cs="Times New Roman"/>
                <w:sz w:val="18"/>
                <w:szCs w:val="18"/>
              </w:rPr>
            </w:pPr>
            <w:r>
              <w:rPr>
                <w:rFonts w:ascii="宋体" w:hAnsi="宋体" w:eastAsia="宋体" w:cs="Times New Roman"/>
                <w:sz w:val="18"/>
                <w:szCs w:val="18"/>
              </w:rPr>
              <w:t>禁止携带托运有毒物品及有害液体</w:t>
            </w:r>
          </w:p>
          <w:p>
            <w:pPr>
              <w:widowControl/>
              <w:jc w:val="center"/>
              <w:rPr>
                <w:rFonts w:ascii="宋体" w:hAnsi="宋体" w:eastAsia="宋体" w:cs="Times New Roman"/>
                <w:sz w:val="18"/>
                <w:szCs w:val="18"/>
              </w:rPr>
            </w:pPr>
            <w:r>
              <w:rPr>
                <w:rFonts w:ascii="宋体" w:hAnsi="宋体" w:eastAsia="宋体" w:cs="Times New Roman"/>
                <w:sz w:val="18"/>
                <w:szCs w:val="18"/>
              </w:rPr>
              <w:t>No carrying poisonous materials and harmful liquid</w:t>
            </w:r>
          </w:p>
        </w:tc>
        <w:tc>
          <w:tcPr>
            <w:tcW w:w="1061" w:type="pct"/>
            <w:vAlign w:val="center"/>
          </w:tcPr>
          <w:p>
            <w:pPr>
              <w:spacing w:line="360" w:lineRule="auto"/>
              <w:jc w:val="center"/>
              <w:rPr>
                <w:rFonts w:ascii="宋体" w:hAnsi="宋体" w:eastAsia="宋体" w:cs="Times New Roman"/>
                <w:sz w:val="18"/>
                <w:szCs w:val="18"/>
              </w:rPr>
            </w:pPr>
            <w:r>
              <w:rPr>
                <w:rFonts w:ascii="宋体" w:hAnsi="宋体" w:eastAsia="宋体" w:cs="Times New Roman"/>
                <w:sz w:val="18"/>
                <w:szCs w:val="18"/>
              </w:rPr>
              <w:t>禁止携带托运放射性及磁性物品</w:t>
            </w:r>
          </w:p>
          <w:p>
            <w:pPr>
              <w:widowControl/>
              <w:jc w:val="center"/>
              <w:rPr>
                <w:rFonts w:ascii="宋体" w:hAnsi="宋体" w:eastAsia="宋体" w:cs="Times New Roman"/>
                <w:sz w:val="18"/>
                <w:szCs w:val="18"/>
              </w:rPr>
            </w:pPr>
            <w:r>
              <w:rPr>
                <w:rFonts w:ascii="宋体" w:hAnsi="宋体" w:eastAsia="宋体" w:cs="Times New Roman"/>
                <w:sz w:val="18"/>
                <w:szCs w:val="18"/>
              </w:rPr>
              <w:t>No carrying radioactive and magnetic materials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标志种类</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9" w:type="pct"/>
            <w:vAlign w:val="center"/>
          </w:tcPr>
          <w:p>
            <w:pPr>
              <w:widowControl/>
              <w:jc w:val="center"/>
              <w:rPr>
                <w:rFonts w:ascii="宋体" w:hAnsi="宋体" w:eastAsia="宋体" w:cs="Times New Roman"/>
                <w:b/>
                <w:sz w:val="18"/>
                <w:szCs w:val="18"/>
              </w:rPr>
            </w:pPr>
            <w:r>
              <w:rPr>
                <w:rFonts w:ascii="宋体" w:hAnsi="宋体" w:eastAsia="宋体" w:cs="Times New Roman"/>
                <w:b/>
                <w:sz w:val="18"/>
                <w:szCs w:val="18"/>
              </w:rPr>
              <w:t>设置范围和地点</w:t>
            </w:r>
          </w:p>
        </w:tc>
        <w:tc>
          <w:tcPr>
            <w:tcW w:w="1210"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不能携带和托运武器、凶器和仿真武器的场所或交通工具，如飞机等。</w:t>
            </w:r>
          </w:p>
        </w:tc>
        <w:tc>
          <w:tcPr>
            <w:tcW w:w="1193" w:type="pct"/>
            <w:gridSpan w:val="2"/>
            <w:vAlign w:val="center"/>
          </w:tcPr>
          <w:p>
            <w:pPr>
              <w:widowControl/>
              <w:jc w:val="center"/>
              <w:rPr>
                <w:rFonts w:ascii="宋体" w:hAnsi="宋体" w:eastAsia="宋体" w:cs="Times New Roman"/>
                <w:sz w:val="18"/>
                <w:szCs w:val="18"/>
              </w:rPr>
            </w:pPr>
            <w:r>
              <w:rPr>
                <w:rFonts w:ascii="宋体" w:hAnsi="宋体" w:eastAsia="宋体" w:cs="Times New Roman"/>
                <w:sz w:val="18"/>
                <w:szCs w:val="18"/>
              </w:rPr>
              <w:t>不能携带和托运易燃、易爆物品及其他危险品的场所或交通工具，如火车、飞机、地铁等。</w:t>
            </w:r>
          </w:p>
        </w:tc>
        <w:tc>
          <w:tcPr>
            <w:tcW w:w="1077"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不能携带托运有毒物品及有害液体的场所或交通工具，如火车、飞机、地铁等。</w:t>
            </w:r>
          </w:p>
        </w:tc>
        <w:tc>
          <w:tcPr>
            <w:tcW w:w="1061" w:type="pct"/>
            <w:vAlign w:val="center"/>
          </w:tcPr>
          <w:p>
            <w:pPr>
              <w:widowControl/>
              <w:jc w:val="center"/>
              <w:rPr>
                <w:rFonts w:ascii="宋体" w:hAnsi="宋体" w:eastAsia="宋体" w:cs="Times New Roman"/>
                <w:sz w:val="18"/>
                <w:szCs w:val="18"/>
              </w:rPr>
            </w:pPr>
            <w:r>
              <w:rPr>
                <w:rFonts w:ascii="宋体" w:hAnsi="宋体" w:eastAsia="宋体" w:cs="Times New Roman"/>
                <w:sz w:val="18"/>
                <w:szCs w:val="18"/>
              </w:rPr>
              <w:t>不能携带托运放射性及磁性物品的场所或交通工具，如火车、飞机、地铁等。</w:t>
            </w:r>
          </w:p>
        </w:tc>
      </w:tr>
    </w:tbl>
    <w:p>
      <w:pPr>
        <w:widowControl/>
        <w:jc w:val="left"/>
        <w:rPr>
          <w:rFonts w:eastAsia="宋体" w:cs="Times New Roman"/>
          <w:sz w:val="21"/>
          <w:szCs w:val="22"/>
        </w:rPr>
      </w:pPr>
      <w:r>
        <w:rPr>
          <w:rFonts w:eastAsia="宋体" w:cs="Times New Roman"/>
          <w:sz w:val="21"/>
          <w:szCs w:val="22"/>
        </w:rPr>
        <w:br w:type="page"/>
      </w:r>
    </w:p>
    <w:p>
      <w:pPr>
        <w:spacing w:after="120"/>
        <w:ind w:firstLine="480" w:firstLineChars="200"/>
        <w:rPr>
          <w:rFonts w:eastAsia="宋体" w:cs="Times New Roman"/>
          <w:sz w:val="24"/>
          <w:szCs w:val="21"/>
        </w:rPr>
      </w:pPr>
      <w:bookmarkStart w:id="90" w:name="_Toc89799823"/>
      <w:r>
        <w:rPr>
          <w:rFonts w:eastAsia="宋体" w:cs="Times New Roman"/>
          <w:sz w:val="24"/>
          <w:szCs w:val="21"/>
        </w:rPr>
        <w:t>（二）警告标志</w:t>
      </w:r>
      <w:bookmarkEnd w:id="90"/>
    </w:p>
    <w:p>
      <w:pPr>
        <w:pStyle w:val="2"/>
        <w:jc w:val="center"/>
        <w:rPr>
          <w:sz w:val="21"/>
          <w:szCs w:val="21"/>
        </w:rPr>
      </w:pPr>
      <w:r>
        <w:rPr>
          <w:rFonts w:hint="eastAsia"/>
          <w:sz w:val="21"/>
          <w:szCs w:val="21"/>
        </w:rPr>
        <w:t>表1</w:t>
      </w:r>
      <w:r>
        <w:rPr>
          <w:sz w:val="21"/>
          <w:szCs w:val="21"/>
        </w:rPr>
        <w:t>4.6</w:t>
      </w:r>
      <w:r>
        <w:rPr>
          <w:rFonts w:hint="eastAsia"/>
          <w:sz w:val="21"/>
          <w:szCs w:val="21"/>
        </w:rPr>
        <w:t>-</w:t>
      </w:r>
      <w:r>
        <w:rPr>
          <w:sz w:val="21"/>
          <w:szCs w:val="21"/>
        </w:rPr>
        <w:t>2</w:t>
      </w:r>
      <w:r>
        <w:rPr>
          <w:rFonts w:hint="eastAsia"/>
          <w:sz w:val="21"/>
          <w:szCs w:val="21"/>
        </w:rPr>
        <w:t>警告标志示例</w:t>
      </w:r>
    </w:p>
    <w:tbl>
      <w:tblPr>
        <w:tblStyle w:val="38"/>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984"/>
        <w:gridCol w:w="2410"/>
        <w:gridCol w:w="1843"/>
        <w:gridCol w:w="283"/>
        <w:gridCol w:w="1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w:t>
            </w:r>
          </w:p>
        </w:tc>
        <w:tc>
          <w:tcPr>
            <w:tcW w:w="184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w:t>
            </w:r>
          </w:p>
        </w:tc>
        <w:tc>
          <w:tcPr>
            <w:tcW w:w="2268"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9"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77900" cy="868045"/>
                  <wp:effectExtent l="0" t="0" r="0" b="8255"/>
                  <wp:docPr id="30947" name="图片 30947" descr="http://www.hbsafety.cn/article/UploadPic/2006-12/20061227119399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7" name="图片 30947" descr="http://www.hbsafety.cn/article/UploadPic/2006-12/2006122711939990.gif"/>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a:xfrm>
                            <a:off x="0" y="0"/>
                            <a:ext cx="981026" cy="871192"/>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51230" cy="838200"/>
                  <wp:effectExtent l="0" t="0" r="1270" b="0"/>
                  <wp:docPr id="30948" name="图片 30948" descr="http://www.hbsafety.cn/article/UploadPic/2006-12/20061227119372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8" name="图片 30948" descr="http://www.hbsafety.cn/article/UploadPic/2006-12/2006122711937205.gif"/>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a:xfrm>
                            <a:off x="0" y="0"/>
                            <a:ext cx="957282" cy="843373"/>
                          </a:xfrm>
                          <a:prstGeom prst="rect">
                            <a:avLst/>
                          </a:prstGeom>
                          <a:noFill/>
                          <a:ln>
                            <a:noFill/>
                          </a:ln>
                        </pic:spPr>
                      </pic:pic>
                    </a:graphicData>
                  </a:graphic>
                </wp:inline>
              </w:drawing>
            </w:r>
          </w:p>
        </w:tc>
        <w:tc>
          <w:tcPr>
            <w:tcW w:w="1843"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03605" cy="786765"/>
                  <wp:effectExtent l="0" t="0" r="0" b="0"/>
                  <wp:docPr id="30949" name="图片 30949" descr="http://www.hbsafety.cn/article/UploadPic/2006-12/20061227119398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图片 30949" descr="http://www.hbsafety.cn/article/UploadPic/2006-12/2006122711939884.gif"/>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a:xfrm>
                            <a:off x="0" y="0"/>
                            <a:ext cx="908010" cy="790777"/>
                          </a:xfrm>
                          <a:prstGeom prst="rect">
                            <a:avLst/>
                          </a:prstGeom>
                          <a:noFill/>
                          <a:ln>
                            <a:noFill/>
                          </a:ln>
                        </pic:spPr>
                      </pic:pic>
                    </a:graphicData>
                  </a:graphic>
                </wp:inline>
              </w:drawing>
            </w:r>
          </w:p>
        </w:tc>
        <w:tc>
          <w:tcPr>
            <w:tcW w:w="2268"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94080" cy="786130"/>
                  <wp:effectExtent l="0" t="0" r="1270" b="0"/>
                  <wp:docPr id="30950" name="图片 30950" descr="http://www.hbsafety.cn/article/UploadPic/2006-12/20061227119373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0" name="图片 30950" descr="http://www.hbsafety.cn/article/UploadPic/2006-12/2006122711937340.gif"/>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a:xfrm>
                            <a:off x="0" y="0"/>
                            <a:ext cx="899491" cy="79087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注意安全</w:t>
            </w:r>
          </w:p>
          <w:p>
            <w:pPr>
              <w:widowControl/>
              <w:jc w:val="center"/>
              <w:rPr>
                <w:rFonts w:ascii="Calibri" w:hAnsi="Calibri" w:eastAsia="宋体" w:cs="Times New Roman"/>
                <w:sz w:val="18"/>
                <w:szCs w:val="18"/>
              </w:rPr>
            </w:pPr>
            <w:r>
              <w:rPr>
                <w:rFonts w:ascii="Calibri" w:hAnsi="Calibri" w:eastAsia="宋体" w:cs="Times New Roman"/>
                <w:sz w:val="18"/>
                <w:szCs w:val="18"/>
              </w:rPr>
              <w:t>Warning danger</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当心火灾</w:t>
            </w:r>
          </w:p>
          <w:p>
            <w:pPr>
              <w:widowControl/>
              <w:jc w:val="center"/>
              <w:rPr>
                <w:rFonts w:ascii="Calibri" w:hAnsi="Calibri" w:eastAsia="宋体" w:cs="Times New Roman"/>
                <w:sz w:val="18"/>
                <w:szCs w:val="18"/>
              </w:rPr>
            </w:pPr>
            <w:r>
              <w:rPr>
                <w:rFonts w:ascii="Calibri" w:hAnsi="Calibri" w:eastAsia="宋体" w:cs="Times New Roman"/>
                <w:sz w:val="18"/>
                <w:szCs w:val="18"/>
              </w:rPr>
              <w:t>Warning fire</w:t>
            </w:r>
          </w:p>
        </w:tc>
        <w:tc>
          <w:tcPr>
            <w:tcW w:w="1843"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当心爆炸</w:t>
            </w:r>
          </w:p>
          <w:p>
            <w:pPr>
              <w:widowControl/>
              <w:jc w:val="center"/>
              <w:rPr>
                <w:rFonts w:ascii="Calibri" w:hAnsi="Calibri" w:eastAsia="宋体" w:cs="Times New Roman"/>
                <w:sz w:val="18"/>
                <w:szCs w:val="18"/>
              </w:rPr>
            </w:pPr>
            <w:r>
              <w:rPr>
                <w:rFonts w:ascii="Calibri" w:hAnsi="Calibri" w:eastAsia="宋体" w:cs="Times New Roman"/>
                <w:sz w:val="18"/>
                <w:szCs w:val="18"/>
              </w:rPr>
              <w:t>Warning explosion</w:t>
            </w:r>
          </w:p>
        </w:tc>
        <w:tc>
          <w:tcPr>
            <w:tcW w:w="2268"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当心腐蚀</w:t>
            </w:r>
          </w:p>
          <w:p>
            <w:pPr>
              <w:widowControl/>
              <w:jc w:val="center"/>
              <w:rPr>
                <w:rFonts w:ascii="Calibri" w:hAnsi="Calibri" w:eastAsia="宋体" w:cs="Times New Roman"/>
                <w:sz w:val="18"/>
                <w:szCs w:val="18"/>
              </w:rPr>
            </w:pPr>
            <w:r>
              <w:rPr>
                <w:rFonts w:ascii="Calibri" w:hAnsi="Calibri" w:eastAsia="宋体" w:cs="Times New Roman"/>
                <w:sz w:val="18"/>
                <w:szCs w:val="18"/>
              </w:rPr>
              <w:t>Warning corrosion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184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2268"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7"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易造成人员伤害的场所及设备等。</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易发生火灾的危险场所，如：可燃性物质的生产、储运、使用等地点。</w:t>
            </w:r>
          </w:p>
        </w:tc>
        <w:tc>
          <w:tcPr>
            <w:tcW w:w="184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易发生爆炸危险的场所，如易燃易爆物质的生产、储运、使用或受压容器等地点。</w:t>
            </w:r>
          </w:p>
        </w:tc>
        <w:tc>
          <w:tcPr>
            <w:tcW w:w="2268"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有腐蚀性物质（GB 12268-2005中第8类所规定的物质）的作业地点。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2－5</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2－6</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2－7</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1"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72490" cy="781685"/>
                  <wp:effectExtent l="0" t="0" r="3810" b="0"/>
                  <wp:docPr id="30951" name="图片 30951" descr="http://www.hbsafety.cn/article/UploadPic/2006-12/20061227119376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1" name="图片 30951" descr="http://www.hbsafety.cn/article/UploadPic/2006-12/2006122711937669.gif"/>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a:xfrm>
                            <a:off x="0" y="0"/>
                            <a:ext cx="893133" cy="800154"/>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77265" cy="852805"/>
                  <wp:effectExtent l="0" t="0" r="0" b="4445"/>
                  <wp:docPr id="30952" name="图片 30952" descr="http://www.hbsafety.cn/article/UploadPic/2006-12/20061227119392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2" name="图片 30952" descr="http://www.hbsafety.cn/article/UploadPic/2006-12/2006122711939249.gif"/>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a:xfrm>
                            <a:off x="0" y="0"/>
                            <a:ext cx="993514" cy="866531"/>
                          </a:xfrm>
                          <a:prstGeom prst="rect">
                            <a:avLst/>
                          </a:prstGeom>
                          <a:noFill/>
                          <a:ln>
                            <a:noFill/>
                          </a:ln>
                        </pic:spPr>
                      </pic:pic>
                    </a:graphicData>
                  </a:graphic>
                </wp:inline>
              </w:drawing>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39165" cy="828675"/>
                  <wp:effectExtent l="0" t="0" r="0" b="9525"/>
                  <wp:docPr id="30953" name="图片 30953" descr="http://www.hbsafety.cn/article/UploadPic/2006-12/20061227119396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3" name="图片 30953" descr="http://www.hbsafety.cn/article/UploadPic/2006-12/2006122711939639.gif"/>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a:xfrm>
                            <a:off x="0" y="0"/>
                            <a:ext cx="945304" cy="834120"/>
                          </a:xfrm>
                          <a:prstGeom prst="rect">
                            <a:avLst/>
                          </a:prstGeom>
                          <a:noFill/>
                          <a:ln>
                            <a:noFill/>
                          </a:ln>
                        </pic:spPr>
                      </pic:pic>
                    </a:graphicData>
                  </a:graphic>
                </wp:inline>
              </w:drawing>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22020" cy="821055"/>
                  <wp:effectExtent l="0" t="0" r="0" b="0"/>
                  <wp:docPr id="30954" name="图片 30954" descr="http://www.hbsafety.cn/article/UploadPic/2006-12/20061227119396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4" name="图片 30954" descr="http://www.hbsafety.cn/article/UploadPic/2006-12/2006122711939613.gif"/>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a:xfrm>
                            <a:off x="0" y="0"/>
                            <a:ext cx="928075" cy="826368"/>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2"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当心中毒</w:t>
            </w:r>
          </w:p>
          <w:p>
            <w:pPr>
              <w:widowControl/>
              <w:jc w:val="center"/>
              <w:rPr>
                <w:rFonts w:ascii="Calibri" w:hAnsi="Calibri" w:eastAsia="宋体" w:cs="Times New Roman"/>
                <w:sz w:val="18"/>
                <w:szCs w:val="18"/>
              </w:rPr>
            </w:pPr>
            <w:r>
              <w:rPr>
                <w:rFonts w:ascii="Calibri" w:hAnsi="Calibri" w:eastAsia="宋体" w:cs="Times New Roman"/>
                <w:sz w:val="18"/>
                <w:szCs w:val="18"/>
              </w:rPr>
              <w:t>Warning poisoning</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当心感染</w:t>
            </w:r>
          </w:p>
          <w:p>
            <w:pPr>
              <w:widowControl/>
              <w:jc w:val="center"/>
              <w:rPr>
                <w:rFonts w:ascii="Calibri" w:hAnsi="Calibri" w:eastAsia="宋体" w:cs="Times New Roman"/>
                <w:sz w:val="18"/>
                <w:szCs w:val="18"/>
              </w:rPr>
            </w:pPr>
            <w:r>
              <w:rPr>
                <w:rFonts w:ascii="Calibri" w:hAnsi="Calibri" w:eastAsia="宋体" w:cs="Times New Roman"/>
                <w:sz w:val="18"/>
                <w:szCs w:val="18"/>
              </w:rPr>
              <w:t>Warning infection</w:t>
            </w:r>
          </w:p>
        </w:tc>
        <w:tc>
          <w:tcPr>
            <w:tcW w:w="2126"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当心触电</w:t>
            </w:r>
          </w:p>
          <w:p>
            <w:pPr>
              <w:widowControl/>
              <w:jc w:val="center"/>
              <w:rPr>
                <w:rFonts w:ascii="Calibri" w:hAnsi="Calibri" w:eastAsia="宋体" w:cs="Times New Roman"/>
                <w:sz w:val="18"/>
                <w:szCs w:val="18"/>
              </w:rPr>
            </w:pPr>
            <w:r>
              <w:rPr>
                <w:rFonts w:ascii="Calibri" w:hAnsi="Calibri" w:eastAsia="宋体" w:cs="Times New Roman"/>
                <w:sz w:val="18"/>
                <w:szCs w:val="18"/>
              </w:rPr>
              <w:t>Warning electric shock</w:t>
            </w:r>
          </w:p>
        </w:tc>
        <w:tc>
          <w:tcPr>
            <w:tcW w:w="198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当心电缆</w:t>
            </w:r>
          </w:p>
          <w:p>
            <w:pPr>
              <w:widowControl/>
              <w:jc w:val="center"/>
              <w:rPr>
                <w:rFonts w:ascii="Calibri" w:hAnsi="Calibri" w:eastAsia="宋体" w:cs="Times New Roman"/>
                <w:sz w:val="18"/>
                <w:szCs w:val="18"/>
              </w:rPr>
            </w:pPr>
            <w:r>
              <w:rPr>
                <w:rFonts w:ascii="Calibri" w:hAnsi="Calibri" w:eastAsia="宋体" w:cs="Times New Roman"/>
                <w:sz w:val="18"/>
                <w:szCs w:val="18"/>
              </w:rPr>
              <w:t>Warning 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剧毒品及有毒物质（GB 12268-2005中第6类第1项所规定的物质）的生产、储运及使用地点。</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易发生感染的场所，如：医院传染病区；有害生物制品的生产、储运、使用等地点。</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有可能发生触电危险的电器设备和线路，如：配电室、开关等。</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有暴露的电缆或地面下有电缆处施工的地点。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2－9</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2－10</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2－11</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1"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13130" cy="804545"/>
                  <wp:effectExtent l="0" t="0" r="1270" b="0"/>
                  <wp:docPr id="30955" name="图片 30955" descr="当心自动启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5" name="图片 30955" descr="当心自动启动"/>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a:xfrm>
                            <a:off x="0" y="0"/>
                            <a:ext cx="926375" cy="816070"/>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81380" cy="770890"/>
                  <wp:effectExtent l="0" t="0" r="0" b="0"/>
                  <wp:docPr id="30956" name="图片 30956" descr="http://www.hbsafety.cn/article/UploadPic/2006-12/20061227119397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6" name="图片 30956" descr="http://www.hbsafety.cn/article/UploadPic/2006-12/2006122711939723.gif"/>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a:xfrm>
                            <a:off x="0" y="0"/>
                            <a:ext cx="888482" cy="777005"/>
                          </a:xfrm>
                          <a:prstGeom prst="rect">
                            <a:avLst/>
                          </a:prstGeom>
                          <a:noFill/>
                          <a:ln>
                            <a:noFill/>
                          </a:ln>
                        </pic:spPr>
                      </pic:pic>
                    </a:graphicData>
                  </a:graphic>
                </wp:inline>
              </w:drawing>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89000" cy="786765"/>
                  <wp:effectExtent l="0" t="0" r="6350" b="0"/>
                  <wp:docPr id="30957" name="图片 30957" descr="http://www.hbsafety.cn/article/UploadPic/2006-12/20061227119397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7" name="图片 30957" descr="http://www.hbsafety.cn/article/UploadPic/2006-12/2006122711939731.gif"/>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a:xfrm>
                            <a:off x="0" y="0"/>
                            <a:ext cx="896616" cy="793478"/>
                          </a:xfrm>
                          <a:prstGeom prst="rect">
                            <a:avLst/>
                          </a:prstGeom>
                          <a:noFill/>
                          <a:ln>
                            <a:noFill/>
                          </a:ln>
                        </pic:spPr>
                      </pic:pic>
                    </a:graphicData>
                  </a:graphic>
                </wp:inline>
              </w:drawing>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92175" cy="784860"/>
                  <wp:effectExtent l="0" t="0" r="3175" b="0"/>
                  <wp:docPr id="30958" name="图片 30958" descr="http://www.hbsafety.cn/article/UploadPic/2006-12/20061227119398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8" name="图片 30958" descr="http://www.hbsafety.cn/article/UploadPic/2006-12/2006122711939870.gif"/>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a:xfrm>
                            <a:off x="0" y="0"/>
                            <a:ext cx="901863" cy="7934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当心自动启动</w:t>
            </w:r>
          </w:p>
          <w:p>
            <w:pPr>
              <w:widowControl/>
              <w:jc w:val="center"/>
              <w:rPr>
                <w:rFonts w:ascii="Calibri" w:hAnsi="Calibri" w:eastAsia="宋体" w:cs="Times New Roman"/>
                <w:sz w:val="18"/>
                <w:szCs w:val="18"/>
              </w:rPr>
            </w:pPr>
            <w:r>
              <w:rPr>
                <w:rFonts w:ascii="Calibri" w:hAnsi="Calibri" w:eastAsia="宋体" w:cs="Times New Roman"/>
                <w:sz w:val="18"/>
                <w:szCs w:val="18"/>
              </w:rPr>
              <w:t>Warning automatic start-up</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当心机械伤人</w:t>
            </w:r>
          </w:p>
          <w:p>
            <w:pPr>
              <w:widowControl/>
              <w:jc w:val="center"/>
              <w:rPr>
                <w:rFonts w:ascii="Calibri" w:hAnsi="Calibri" w:eastAsia="宋体" w:cs="Times New Roman"/>
                <w:sz w:val="18"/>
                <w:szCs w:val="18"/>
              </w:rPr>
            </w:pPr>
            <w:r>
              <w:rPr>
                <w:rFonts w:ascii="Calibri" w:hAnsi="Calibri" w:eastAsia="宋体" w:cs="Times New Roman"/>
                <w:sz w:val="18"/>
                <w:szCs w:val="18"/>
              </w:rPr>
              <w:t>Warning mechanical injury</w:t>
            </w:r>
          </w:p>
        </w:tc>
        <w:tc>
          <w:tcPr>
            <w:tcW w:w="2126"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当心塌方</w:t>
            </w:r>
          </w:p>
          <w:p>
            <w:pPr>
              <w:widowControl/>
              <w:jc w:val="center"/>
              <w:rPr>
                <w:rFonts w:ascii="Calibri" w:hAnsi="Calibri" w:eastAsia="宋体" w:cs="Times New Roman"/>
                <w:sz w:val="18"/>
                <w:szCs w:val="18"/>
              </w:rPr>
            </w:pPr>
            <w:r>
              <w:rPr>
                <w:rFonts w:ascii="Calibri" w:hAnsi="Calibri" w:eastAsia="宋体" w:cs="Times New Roman"/>
                <w:sz w:val="18"/>
                <w:szCs w:val="18"/>
              </w:rPr>
              <w:t>Warning collapse</w:t>
            </w:r>
          </w:p>
        </w:tc>
        <w:tc>
          <w:tcPr>
            <w:tcW w:w="198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当心冒顶</w:t>
            </w:r>
          </w:p>
          <w:p>
            <w:pPr>
              <w:widowControl/>
              <w:jc w:val="center"/>
              <w:rPr>
                <w:rFonts w:ascii="Calibri" w:hAnsi="Calibri" w:eastAsia="宋体" w:cs="Times New Roman"/>
                <w:sz w:val="18"/>
                <w:szCs w:val="18"/>
              </w:rPr>
            </w:pPr>
            <w:r>
              <w:rPr>
                <w:rFonts w:ascii="Calibri" w:hAnsi="Calibri" w:eastAsia="宋体" w:cs="Times New Roman"/>
                <w:sz w:val="18"/>
                <w:szCs w:val="18"/>
              </w:rPr>
              <w:t>Warning roof fall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2"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配有自动启动装置的设备。</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易发生机械卷入、轧压、碾压、剪切等机械伤害的作业地点</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有塌方危险的地段、地区，如：堤坝及土方作业的深坑、深槽等。</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具有冒顶危险的作业场所，如：矿井、隧道等。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2－13</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2－14</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2－15</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3"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99795" cy="791845"/>
                  <wp:effectExtent l="0" t="0" r="0" b="8255"/>
                  <wp:docPr id="30959" name="图片 30959" descr="http://www.hbsafety.cn/article/UploadPic/2006-12/20061227119379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9" name="图片 30959" descr="http://www.hbsafety.cn/article/UploadPic/2006-12/2006122711937999.gif"/>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a:xfrm>
                            <a:off x="0" y="0"/>
                            <a:ext cx="906974" cy="798498"/>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09955" cy="799465"/>
                  <wp:effectExtent l="0" t="0" r="4445" b="635"/>
                  <wp:docPr id="30960" name="图片 30960" descr="http://www.hbsafety.cn/article/UploadPic/2006-12/20061227119395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 name="图片 30960" descr="http://www.hbsafety.cn/article/UploadPic/2006-12/2006122711939572.gif"/>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a:xfrm>
                            <a:off x="0" y="0"/>
                            <a:ext cx="915082" cy="803512"/>
                          </a:xfrm>
                          <a:prstGeom prst="rect">
                            <a:avLst/>
                          </a:prstGeom>
                          <a:noFill/>
                          <a:ln>
                            <a:noFill/>
                          </a:ln>
                        </pic:spPr>
                      </pic:pic>
                    </a:graphicData>
                  </a:graphic>
                </wp:inline>
              </w:drawing>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01700" cy="793750"/>
                  <wp:effectExtent l="0" t="0" r="0" b="6350"/>
                  <wp:docPr id="30961" name="图片 30961" descr="http://www.hbsafety.cn/article/UploadPic/2006-12/20061227119398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 name="图片 30961" descr="http://www.hbsafety.cn/article/UploadPic/2006-12/2006122711939865.gif"/>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a:xfrm>
                            <a:off x="0" y="0"/>
                            <a:ext cx="906136" cy="797761"/>
                          </a:xfrm>
                          <a:prstGeom prst="rect">
                            <a:avLst/>
                          </a:prstGeom>
                          <a:noFill/>
                          <a:ln>
                            <a:noFill/>
                          </a:ln>
                        </pic:spPr>
                      </pic:pic>
                    </a:graphicData>
                  </a:graphic>
                </wp:inline>
              </w:drawing>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61390" cy="847090"/>
                  <wp:effectExtent l="0" t="0" r="0" b="0"/>
                  <wp:docPr id="30962" name="图片 30962" descr="当心碰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2" name="图片 30962" descr="当心碰头"/>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a:xfrm>
                            <a:off x="0" y="0"/>
                            <a:ext cx="978700" cy="86216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5"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当心坑洞</w:t>
            </w:r>
          </w:p>
          <w:p>
            <w:pPr>
              <w:widowControl/>
              <w:jc w:val="center"/>
              <w:rPr>
                <w:rFonts w:ascii="Calibri" w:hAnsi="Calibri" w:eastAsia="宋体" w:cs="Times New Roman"/>
                <w:sz w:val="18"/>
                <w:szCs w:val="18"/>
              </w:rPr>
            </w:pPr>
            <w:r>
              <w:rPr>
                <w:rFonts w:ascii="Calibri" w:hAnsi="Calibri" w:eastAsia="宋体" w:cs="Times New Roman"/>
                <w:sz w:val="18"/>
                <w:szCs w:val="18"/>
              </w:rPr>
              <w:t>Warning hole</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当心落物</w:t>
            </w:r>
          </w:p>
          <w:p>
            <w:pPr>
              <w:widowControl/>
              <w:jc w:val="center"/>
              <w:rPr>
                <w:rFonts w:ascii="Calibri" w:hAnsi="Calibri" w:eastAsia="宋体" w:cs="Times New Roman"/>
                <w:sz w:val="18"/>
                <w:szCs w:val="18"/>
              </w:rPr>
            </w:pPr>
            <w:r>
              <w:rPr>
                <w:rFonts w:ascii="Calibri" w:hAnsi="Calibri" w:eastAsia="宋体" w:cs="Times New Roman"/>
                <w:sz w:val="18"/>
                <w:szCs w:val="18"/>
              </w:rPr>
              <w:t>Warning falling objects</w:t>
            </w:r>
          </w:p>
        </w:tc>
        <w:tc>
          <w:tcPr>
            <w:tcW w:w="2126"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当心吊物</w:t>
            </w:r>
          </w:p>
          <w:p>
            <w:pPr>
              <w:widowControl/>
              <w:jc w:val="center"/>
              <w:rPr>
                <w:rFonts w:ascii="Calibri" w:hAnsi="Calibri" w:eastAsia="宋体" w:cs="Times New Roman"/>
                <w:sz w:val="18"/>
                <w:szCs w:val="18"/>
              </w:rPr>
            </w:pPr>
            <w:r>
              <w:rPr>
                <w:rFonts w:ascii="Calibri" w:hAnsi="Calibri" w:eastAsia="宋体" w:cs="Times New Roman"/>
                <w:sz w:val="18"/>
                <w:szCs w:val="18"/>
              </w:rPr>
              <w:t>Warning overhead load</w:t>
            </w:r>
          </w:p>
        </w:tc>
        <w:tc>
          <w:tcPr>
            <w:tcW w:w="198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当心碰头</w:t>
            </w:r>
          </w:p>
          <w:p>
            <w:pPr>
              <w:widowControl/>
              <w:jc w:val="center"/>
              <w:rPr>
                <w:rFonts w:ascii="Calibri" w:hAnsi="Calibri" w:eastAsia="宋体" w:cs="Times New Roman"/>
                <w:sz w:val="18"/>
                <w:szCs w:val="18"/>
              </w:rPr>
            </w:pPr>
            <w:r>
              <w:rPr>
                <w:rFonts w:ascii="Calibri" w:hAnsi="Calibri" w:eastAsia="宋体" w:cs="Times New Roman"/>
                <w:sz w:val="18"/>
                <w:szCs w:val="18"/>
              </w:rPr>
              <w:t>Warning overhead obstacles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J.H</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34"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 xml:space="preserve">  具有坑洞易造成伤害的作业地点，如：构件的预留孔洞及各种深坑的上方等。</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易发生落物危险的地点，如：高处作业、立体交叉作业的下方等。</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有吊装设备作业的场所，如：施工工地、港口、码头、仓库、车间等。</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有产生碰头的场所。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2－17</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2－18</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2－19</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9"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61390" cy="858520"/>
                  <wp:effectExtent l="0" t="0" r="0" b="0"/>
                  <wp:docPr id="30963" name="图片 30963" descr="当心挤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3" name="图片 30963" descr="当心挤压"/>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a:xfrm>
                            <a:off x="0" y="0"/>
                            <a:ext cx="977790" cy="873037"/>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51230" cy="838200"/>
                  <wp:effectExtent l="0" t="0" r="1270" b="0"/>
                  <wp:docPr id="30964" name="图片 30964" descr="http://www.hbsafety.cn/article/UploadPic/2006-12/20061227119396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4" name="图片 30964" descr="http://www.hbsafety.cn/article/UploadPic/2006-12/2006122711939698.gif"/>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a:xfrm>
                            <a:off x="0" y="0"/>
                            <a:ext cx="958230" cy="844208"/>
                          </a:xfrm>
                          <a:prstGeom prst="rect">
                            <a:avLst/>
                          </a:prstGeom>
                          <a:noFill/>
                          <a:ln>
                            <a:noFill/>
                          </a:ln>
                        </pic:spPr>
                      </pic:pic>
                    </a:graphicData>
                  </a:graphic>
                </wp:inline>
              </w:drawing>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41705" cy="827405"/>
                  <wp:effectExtent l="0" t="0" r="0" b="0"/>
                  <wp:docPr id="30965" name="图片 30965" descr="http://www.hbsafety.cn/article/UploadPic/2006-12/20061227119391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5" name="图片 30965" descr="http://www.hbsafety.cn/article/UploadPic/2006-12/2006122711939144.gif"/>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a:xfrm>
                            <a:off x="0" y="0"/>
                            <a:ext cx="950093" cy="834914"/>
                          </a:xfrm>
                          <a:prstGeom prst="rect">
                            <a:avLst/>
                          </a:prstGeom>
                          <a:noFill/>
                          <a:ln>
                            <a:noFill/>
                          </a:ln>
                        </pic:spPr>
                      </pic:pic>
                    </a:graphicData>
                  </a:graphic>
                </wp:inline>
              </w:drawing>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81075" cy="864235"/>
                  <wp:effectExtent l="0" t="0" r="0" b="0"/>
                  <wp:docPr id="30966" name="图片 30966" descr="当心夹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6" name="图片 30966" descr="当心夹手"/>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a:xfrm>
                            <a:off x="0" y="0"/>
                            <a:ext cx="990599" cy="872648"/>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当心挤压</w:t>
            </w:r>
          </w:p>
          <w:p>
            <w:pPr>
              <w:widowControl/>
              <w:jc w:val="center"/>
              <w:rPr>
                <w:rFonts w:ascii="Calibri" w:hAnsi="Calibri" w:eastAsia="宋体" w:cs="Times New Roman"/>
                <w:sz w:val="18"/>
                <w:szCs w:val="18"/>
              </w:rPr>
            </w:pPr>
            <w:r>
              <w:rPr>
                <w:rFonts w:ascii="Calibri" w:hAnsi="Calibri" w:eastAsia="宋体" w:cs="Times New Roman"/>
                <w:sz w:val="18"/>
                <w:szCs w:val="18"/>
              </w:rPr>
              <w:t>Warning crushing</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当心烫伤</w:t>
            </w:r>
          </w:p>
          <w:p>
            <w:pPr>
              <w:widowControl/>
              <w:jc w:val="center"/>
              <w:rPr>
                <w:rFonts w:ascii="Calibri" w:hAnsi="Calibri" w:eastAsia="宋体" w:cs="Times New Roman"/>
                <w:sz w:val="18"/>
                <w:szCs w:val="18"/>
              </w:rPr>
            </w:pPr>
            <w:r>
              <w:rPr>
                <w:rFonts w:ascii="Calibri" w:hAnsi="Calibri" w:eastAsia="宋体" w:cs="Times New Roman"/>
                <w:sz w:val="18"/>
                <w:szCs w:val="18"/>
              </w:rPr>
              <w:t>Warning scald</w:t>
            </w:r>
          </w:p>
        </w:tc>
        <w:tc>
          <w:tcPr>
            <w:tcW w:w="2126"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当心伤手</w:t>
            </w:r>
          </w:p>
          <w:p>
            <w:pPr>
              <w:widowControl/>
              <w:jc w:val="center"/>
              <w:rPr>
                <w:rFonts w:ascii="Calibri" w:hAnsi="Calibri" w:eastAsia="宋体" w:cs="Times New Roman"/>
                <w:sz w:val="18"/>
                <w:szCs w:val="18"/>
              </w:rPr>
            </w:pPr>
            <w:r>
              <w:rPr>
                <w:rFonts w:ascii="Calibri" w:hAnsi="Calibri" w:eastAsia="宋体" w:cs="Times New Roman"/>
                <w:sz w:val="18"/>
                <w:szCs w:val="18"/>
              </w:rPr>
              <w:t>Warning injure hand</w:t>
            </w:r>
          </w:p>
        </w:tc>
        <w:tc>
          <w:tcPr>
            <w:tcW w:w="198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当心夹手</w:t>
            </w:r>
          </w:p>
          <w:p>
            <w:pPr>
              <w:widowControl/>
              <w:jc w:val="center"/>
              <w:rPr>
                <w:rFonts w:ascii="Calibri" w:hAnsi="Calibri" w:eastAsia="宋体" w:cs="Times New Roman"/>
                <w:sz w:val="18"/>
                <w:szCs w:val="18"/>
              </w:rPr>
            </w:pPr>
            <w:r>
              <w:rPr>
                <w:rFonts w:ascii="Calibri" w:hAnsi="Calibri" w:eastAsia="宋体" w:cs="Times New Roman"/>
                <w:sz w:val="18"/>
                <w:szCs w:val="18"/>
              </w:rPr>
              <w:t>Warning hands pinching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0" w:hRule="atLeast"/>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有产生挤压的装置、设备或场所，如自动门、电梯门、车站屏蔽门等。</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具有热源易造成伤害的作业地点，如：冶炼、锻造、铸造、热处理车间等。</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易造成手部伤害的作业地点，如：玻璃制品、木制加工、机械加工车间等。</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有产生挤压的装置、设备或场所，如自动门、电梯门、列车车门等。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2－21</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2－22</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2－23</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9"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76300" cy="776605"/>
                  <wp:effectExtent l="0" t="0" r="0" b="4445"/>
                  <wp:docPr id="30967" name="图片 30967" descr="http://www.hbsafety.cn/article/UploadPic/2006-12/20061227119398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7" name="图片 30967" descr="http://www.hbsafety.cn/article/UploadPic/2006-12/2006122711939879.gif"/>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a:xfrm>
                            <a:off x="0" y="0"/>
                            <a:ext cx="880836" cy="780335"/>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05510" cy="808355"/>
                  <wp:effectExtent l="0" t="0" r="8890" b="0"/>
                  <wp:docPr id="30968" name="图片 309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8" name="图片 30968" descr="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a:xfrm>
                            <a:off x="0" y="0"/>
                            <a:ext cx="926444" cy="827193"/>
                          </a:xfrm>
                          <a:prstGeom prst="rect">
                            <a:avLst/>
                          </a:prstGeom>
                          <a:noFill/>
                          <a:ln>
                            <a:noFill/>
                          </a:ln>
                        </pic:spPr>
                      </pic:pic>
                    </a:graphicData>
                  </a:graphic>
                </wp:inline>
              </w:drawing>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90905" cy="777240"/>
                  <wp:effectExtent l="0" t="0" r="4445" b="3810"/>
                  <wp:docPr id="30969" name="图片 30969" descr="http://www.hbsafety.cn/article/UploadPic/2006-12/20061227119396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9" name="图片 30969" descr="http://www.hbsafety.cn/article/UploadPic/2006-12/2006122711939685.gif"/>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a:xfrm>
                            <a:off x="0" y="0"/>
                            <a:ext cx="898880" cy="783993"/>
                          </a:xfrm>
                          <a:prstGeom prst="rect">
                            <a:avLst/>
                          </a:prstGeom>
                          <a:noFill/>
                          <a:ln>
                            <a:noFill/>
                          </a:ln>
                        </pic:spPr>
                      </pic:pic>
                    </a:graphicData>
                  </a:graphic>
                </wp:inline>
              </w:drawing>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890905" cy="795655"/>
                  <wp:effectExtent l="0" t="0" r="4445" b="4445"/>
                  <wp:docPr id="30970" name="图片 30970" descr="当心高温表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0" name="图片 30970" descr="当心高温表面"/>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a:xfrm>
                            <a:off x="0" y="0"/>
                            <a:ext cx="900885" cy="804371"/>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当心扎脚</w:t>
            </w:r>
          </w:p>
          <w:p>
            <w:pPr>
              <w:widowControl/>
              <w:jc w:val="center"/>
              <w:rPr>
                <w:rFonts w:ascii="Calibri" w:hAnsi="Calibri" w:eastAsia="宋体" w:cs="Times New Roman"/>
                <w:sz w:val="18"/>
                <w:szCs w:val="18"/>
              </w:rPr>
            </w:pPr>
            <w:r>
              <w:rPr>
                <w:rFonts w:ascii="Calibri" w:hAnsi="Calibri" w:eastAsia="宋体" w:cs="Times New Roman"/>
                <w:sz w:val="18"/>
                <w:szCs w:val="18"/>
              </w:rPr>
              <w:t>Warning splinter</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当心有犬</w:t>
            </w:r>
          </w:p>
          <w:p>
            <w:pPr>
              <w:widowControl/>
              <w:jc w:val="center"/>
              <w:rPr>
                <w:rFonts w:ascii="Calibri" w:hAnsi="Calibri" w:eastAsia="宋体" w:cs="Times New Roman"/>
                <w:sz w:val="18"/>
                <w:szCs w:val="18"/>
              </w:rPr>
            </w:pPr>
            <w:r>
              <w:rPr>
                <w:rFonts w:ascii="Calibri" w:hAnsi="Calibri" w:eastAsia="宋体" w:cs="Times New Roman"/>
                <w:sz w:val="18"/>
                <w:szCs w:val="18"/>
              </w:rPr>
              <w:t>Warning guard dog</w:t>
            </w:r>
          </w:p>
        </w:tc>
        <w:tc>
          <w:tcPr>
            <w:tcW w:w="2126"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当心弧光</w:t>
            </w:r>
          </w:p>
          <w:p>
            <w:pPr>
              <w:widowControl/>
              <w:jc w:val="center"/>
              <w:rPr>
                <w:rFonts w:ascii="Calibri" w:hAnsi="Calibri" w:eastAsia="宋体" w:cs="Times New Roman"/>
                <w:sz w:val="18"/>
                <w:szCs w:val="18"/>
              </w:rPr>
            </w:pPr>
            <w:r>
              <w:rPr>
                <w:rFonts w:ascii="Calibri" w:hAnsi="Calibri" w:eastAsia="宋体" w:cs="Times New Roman"/>
                <w:sz w:val="18"/>
                <w:szCs w:val="18"/>
              </w:rPr>
              <w:t>Warning arc</w:t>
            </w:r>
          </w:p>
        </w:tc>
        <w:tc>
          <w:tcPr>
            <w:tcW w:w="198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当心高温表面</w:t>
            </w:r>
          </w:p>
          <w:p>
            <w:pPr>
              <w:widowControl/>
              <w:jc w:val="center"/>
              <w:rPr>
                <w:rFonts w:ascii="Calibri" w:hAnsi="Calibri" w:eastAsia="宋体" w:cs="Times New Roman"/>
                <w:sz w:val="18"/>
                <w:szCs w:val="18"/>
              </w:rPr>
            </w:pPr>
            <w:r>
              <w:rPr>
                <w:rFonts w:ascii="Calibri" w:hAnsi="Calibri" w:eastAsia="宋体" w:cs="Times New Roman"/>
                <w:sz w:val="18"/>
                <w:szCs w:val="18"/>
              </w:rPr>
              <w:t>Warning hot surface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4"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易造成脚部伤害的作业地点，如：铸造车间、木工车间、施工工地及有尖角散料等处。</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有犬类作为保卫的场所。</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由于弧光造成眼部伤害的各种焊接作业场所。</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有灼烫物体表面的场所。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2－25</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2－26</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2－27</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9"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25830" cy="826135"/>
                  <wp:effectExtent l="0" t="0" r="7620" b="0"/>
                  <wp:docPr id="30971" name="图片 30971" descr="当心低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1" name="图片 30971" descr="当心低温"/>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a:xfrm>
                            <a:off x="0" y="0"/>
                            <a:ext cx="936105" cy="835819"/>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51865" cy="827405"/>
                  <wp:effectExtent l="0" t="0" r="635" b="0"/>
                  <wp:docPr id="30972" name="图片 309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2" name="图片 30972" descr="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a:xfrm>
                            <a:off x="0" y="0"/>
                            <a:ext cx="964180" cy="837865"/>
                          </a:xfrm>
                          <a:prstGeom prst="rect">
                            <a:avLst/>
                          </a:prstGeom>
                          <a:noFill/>
                          <a:ln>
                            <a:noFill/>
                          </a:ln>
                        </pic:spPr>
                      </pic:pic>
                    </a:graphicData>
                  </a:graphic>
                </wp:inline>
              </w:drawing>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82015" cy="781050"/>
                  <wp:effectExtent l="0" t="0" r="0" b="0"/>
                  <wp:docPr id="30973" name="图片 30973" descr="http://www.hbsafety.cn/article/UploadPic/2006-12/20061227119397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3" name="图片 30973" descr="http://www.hbsafety.cn/article/UploadPic/2006-12/2006122711939728.gif"/>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a:xfrm>
                            <a:off x="0" y="0"/>
                            <a:ext cx="889359" cy="787825"/>
                          </a:xfrm>
                          <a:prstGeom prst="rect">
                            <a:avLst/>
                          </a:prstGeom>
                          <a:noFill/>
                          <a:ln>
                            <a:noFill/>
                          </a:ln>
                        </pic:spPr>
                      </pic:pic>
                    </a:graphicData>
                  </a:graphic>
                </wp:inline>
              </w:drawing>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61695" cy="756920"/>
                  <wp:effectExtent l="0" t="0" r="0" b="5080"/>
                  <wp:docPr id="30974" name="图片 30974" descr="http://www.hbsafety.cn/article/UploadPic/2006-12/20061227119393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4" name="图片 30974" descr="http://www.hbsafety.cn/article/UploadPic/2006-12/2006122711939324.gif"/>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a:xfrm>
                            <a:off x="0" y="0"/>
                            <a:ext cx="867415" cy="762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6"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当心低温</w:t>
            </w:r>
          </w:p>
          <w:p>
            <w:pPr>
              <w:widowControl/>
              <w:jc w:val="center"/>
              <w:rPr>
                <w:rFonts w:ascii="Calibri" w:hAnsi="Calibri" w:eastAsia="宋体" w:cs="Times New Roman"/>
                <w:sz w:val="18"/>
                <w:szCs w:val="18"/>
              </w:rPr>
            </w:pPr>
            <w:r>
              <w:rPr>
                <w:rFonts w:ascii="Calibri" w:hAnsi="Calibri" w:eastAsia="宋体" w:cs="Times New Roman"/>
                <w:sz w:val="18"/>
                <w:szCs w:val="18"/>
              </w:rPr>
              <w:t>Warning low temperature/freezing conditions</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当心磁场</w:t>
            </w:r>
          </w:p>
          <w:p>
            <w:pPr>
              <w:widowControl/>
              <w:jc w:val="center"/>
              <w:rPr>
                <w:rFonts w:ascii="Calibri" w:hAnsi="Calibri" w:eastAsia="宋体" w:cs="Times New Roman"/>
                <w:sz w:val="18"/>
                <w:szCs w:val="18"/>
              </w:rPr>
            </w:pPr>
            <w:r>
              <w:rPr>
                <w:rFonts w:ascii="Calibri" w:hAnsi="Calibri" w:eastAsia="宋体" w:cs="Times New Roman"/>
                <w:sz w:val="18"/>
                <w:szCs w:val="18"/>
              </w:rPr>
              <w:t>Warning magnetic field</w:t>
            </w:r>
          </w:p>
        </w:tc>
        <w:tc>
          <w:tcPr>
            <w:tcW w:w="2126"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当心电离辐射</w:t>
            </w:r>
          </w:p>
          <w:p>
            <w:pPr>
              <w:widowControl/>
              <w:jc w:val="center"/>
              <w:rPr>
                <w:rFonts w:ascii="Calibri" w:hAnsi="Calibri" w:eastAsia="宋体" w:cs="Times New Roman"/>
                <w:sz w:val="18"/>
                <w:szCs w:val="18"/>
              </w:rPr>
            </w:pPr>
            <w:r>
              <w:rPr>
                <w:rFonts w:ascii="Calibri" w:hAnsi="Calibri" w:eastAsia="宋体" w:cs="Times New Roman"/>
                <w:sz w:val="18"/>
                <w:szCs w:val="18"/>
              </w:rPr>
              <w:t>Warning ionizing radiation</w:t>
            </w:r>
          </w:p>
        </w:tc>
        <w:tc>
          <w:tcPr>
            <w:tcW w:w="198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当心裂变物质</w:t>
            </w:r>
          </w:p>
          <w:p>
            <w:pPr>
              <w:widowControl/>
              <w:jc w:val="center"/>
              <w:rPr>
                <w:rFonts w:ascii="Calibri" w:hAnsi="Calibri" w:eastAsia="宋体" w:cs="Times New Roman"/>
                <w:sz w:val="18"/>
                <w:szCs w:val="18"/>
              </w:rPr>
            </w:pPr>
            <w:r>
              <w:rPr>
                <w:rFonts w:ascii="Calibri" w:hAnsi="Calibri" w:eastAsia="宋体" w:cs="Times New Roman"/>
                <w:sz w:val="18"/>
                <w:szCs w:val="18"/>
              </w:rPr>
              <w:t>Warning fission matter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3"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易于导致冻伤的场所，如：冷库、气化器表面、存在液化气体的场所等。</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有磁场的区域或场所，如高压变压器、电磁测量仪器附近等。</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能产生电离辐射危害的作业场所，如：生产、储运、使用GB 12268-2005规定的第7类物质的作业区。</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具有裂变物质的作业场所，如：其使用车间、储运仓库、容器等。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2－29</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2－30</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2－31</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9"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25830" cy="810260"/>
                  <wp:effectExtent l="0" t="0" r="7620" b="8890"/>
                  <wp:docPr id="30975" name="图片 30975" descr="http://www.hbsafety.cn/article/UploadPic/2006-12/20061227119396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5" name="图片 30975" descr="http://www.hbsafety.cn/article/UploadPic/2006-12/2006122711939667.gif"/>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a:xfrm>
                            <a:off x="0" y="0"/>
                            <a:ext cx="930980" cy="814810"/>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64870" cy="770255"/>
                  <wp:effectExtent l="0" t="0" r="0" b="0"/>
                  <wp:docPr id="30976" name="图片 30976" descr="http://www.hbsafety.cn/article/UploadPic/2006-12/20061227119396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6" name="图片 30976" descr="http://www.hbsafety.cn/article/UploadPic/2006-12/2006122711939668.gif"/>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a:xfrm>
                            <a:off x="0" y="0"/>
                            <a:ext cx="873518" cy="778071"/>
                          </a:xfrm>
                          <a:prstGeom prst="rect">
                            <a:avLst/>
                          </a:prstGeom>
                          <a:noFill/>
                          <a:ln>
                            <a:noFill/>
                          </a:ln>
                        </pic:spPr>
                      </pic:pic>
                    </a:graphicData>
                  </a:graphic>
                </wp:inline>
              </w:drawing>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15670" cy="817245"/>
                  <wp:effectExtent l="0" t="0" r="0" b="1905"/>
                  <wp:docPr id="30977" name="图片 30977" descr="当心叉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7" name="图片 30977" descr="当心叉车"/>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a:xfrm>
                            <a:off x="0" y="0"/>
                            <a:ext cx="927883" cy="828478"/>
                          </a:xfrm>
                          <a:prstGeom prst="rect">
                            <a:avLst/>
                          </a:prstGeom>
                          <a:noFill/>
                          <a:ln>
                            <a:noFill/>
                          </a:ln>
                        </pic:spPr>
                      </pic:pic>
                    </a:graphicData>
                  </a:graphic>
                </wp:inline>
              </w:drawing>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59155" cy="760730"/>
                  <wp:effectExtent l="0" t="0" r="0" b="1270"/>
                  <wp:docPr id="30978" name="图片 30978" descr="http://www.hbsafety.cn/article/UploadPic/2006-12/20061227119397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8" name="图片 30978" descr="http://www.hbsafety.cn/article/UploadPic/2006-12/2006122711939779.gif"/>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a:xfrm>
                            <a:off x="0" y="0"/>
                            <a:ext cx="862977" cy="764454"/>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当心激光</w:t>
            </w:r>
          </w:p>
          <w:p>
            <w:pPr>
              <w:widowControl/>
              <w:jc w:val="center"/>
              <w:rPr>
                <w:rFonts w:ascii="Calibri" w:hAnsi="Calibri" w:eastAsia="宋体" w:cs="Times New Roman"/>
                <w:sz w:val="18"/>
                <w:szCs w:val="18"/>
              </w:rPr>
            </w:pPr>
            <w:r>
              <w:rPr>
                <w:rFonts w:ascii="Calibri" w:hAnsi="Calibri" w:eastAsia="宋体" w:cs="Times New Roman"/>
                <w:sz w:val="18"/>
                <w:szCs w:val="18"/>
              </w:rPr>
              <w:t>Warning laser</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当心微波</w:t>
            </w:r>
          </w:p>
          <w:p>
            <w:pPr>
              <w:widowControl/>
              <w:jc w:val="center"/>
              <w:rPr>
                <w:rFonts w:ascii="Calibri" w:hAnsi="Calibri" w:eastAsia="宋体" w:cs="Times New Roman"/>
                <w:sz w:val="18"/>
                <w:szCs w:val="18"/>
              </w:rPr>
            </w:pPr>
            <w:r>
              <w:rPr>
                <w:rFonts w:ascii="Calibri" w:hAnsi="Calibri" w:eastAsia="宋体" w:cs="Times New Roman"/>
                <w:sz w:val="18"/>
                <w:szCs w:val="18"/>
              </w:rPr>
              <w:t>Warning microwave</w:t>
            </w:r>
          </w:p>
        </w:tc>
        <w:tc>
          <w:tcPr>
            <w:tcW w:w="2126"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当心叉车</w:t>
            </w:r>
          </w:p>
          <w:p>
            <w:pPr>
              <w:widowControl/>
              <w:jc w:val="center"/>
              <w:rPr>
                <w:rFonts w:ascii="Calibri" w:hAnsi="Calibri" w:eastAsia="宋体" w:cs="Times New Roman"/>
                <w:sz w:val="18"/>
                <w:szCs w:val="18"/>
              </w:rPr>
            </w:pPr>
            <w:r>
              <w:rPr>
                <w:rFonts w:ascii="Calibri" w:hAnsi="Calibri" w:eastAsia="宋体" w:cs="Times New Roman"/>
                <w:sz w:val="18"/>
                <w:szCs w:val="18"/>
              </w:rPr>
              <w:t>Warning fork lift trucks</w:t>
            </w:r>
          </w:p>
        </w:tc>
        <w:tc>
          <w:tcPr>
            <w:tcW w:w="198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当心车辆</w:t>
            </w:r>
          </w:p>
          <w:p>
            <w:pPr>
              <w:widowControl/>
              <w:jc w:val="center"/>
              <w:rPr>
                <w:rFonts w:ascii="Calibri" w:hAnsi="Calibri" w:eastAsia="宋体" w:cs="Times New Roman"/>
                <w:sz w:val="18"/>
                <w:szCs w:val="18"/>
              </w:rPr>
            </w:pPr>
            <w:r>
              <w:rPr>
                <w:rFonts w:ascii="Calibri" w:hAnsi="Calibri" w:eastAsia="宋体" w:cs="Times New Roman"/>
                <w:sz w:val="18"/>
                <w:szCs w:val="18"/>
              </w:rPr>
              <w:t>Warning vehicle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J.H</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4"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有激光产品和生产、使用、维修激光产品的场所（激光辐射警告标志常用尺寸规格见附录B）。</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凡微波场强超过GB 10436、GB 10437规定的作业场所。</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有叉车通行的场所。</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厂内车、人混合行走的路段，道路的拐角处，平交路口；车辆出入较多的厂房、车库等出入口。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2－33</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2－34</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2－35</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8"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67105" cy="854710"/>
                  <wp:effectExtent l="0" t="0" r="4445" b="2540"/>
                  <wp:docPr id="30979" name="图片 30979" descr="http://www.hbsafety.cn/article/UploadPic/2006-12/20061227119399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9" name="图片 30979" descr="http://www.hbsafety.cn/article/UploadPic/2006-12/2006122711939911.gif"/>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a:xfrm>
                            <a:off x="0" y="0"/>
                            <a:ext cx="972473" cy="859765"/>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24560" cy="824230"/>
                  <wp:effectExtent l="0" t="0" r="8890" b="0"/>
                  <wp:docPr id="30980" name="图片 30980" descr="http://www.hbsafety.cn/article/UploadPic/2006-12/2006122711939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0" name="图片 30980" descr="http://www.hbsafety.cn/article/UploadPic/2006-12/2006122711939434.gif"/>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a:xfrm>
                            <a:off x="0" y="0"/>
                            <a:ext cx="930399" cy="829582"/>
                          </a:xfrm>
                          <a:prstGeom prst="rect">
                            <a:avLst/>
                          </a:prstGeom>
                          <a:noFill/>
                          <a:ln>
                            <a:noFill/>
                          </a:ln>
                        </pic:spPr>
                      </pic:pic>
                    </a:graphicData>
                  </a:graphic>
                </wp:inline>
              </w:drawing>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06145" cy="830580"/>
                  <wp:effectExtent l="0" t="0" r="8255" b="7620"/>
                  <wp:docPr id="30981" name="图片 30981" descr="当心障碍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1" name="图片 30981" descr="当心障碍物"/>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a:xfrm>
                            <a:off x="0" y="0"/>
                            <a:ext cx="920534" cy="843896"/>
                          </a:xfrm>
                          <a:prstGeom prst="rect">
                            <a:avLst/>
                          </a:prstGeom>
                          <a:noFill/>
                          <a:ln>
                            <a:noFill/>
                          </a:ln>
                        </pic:spPr>
                      </pic:pic>
                    </a:graphicData>
                  </a:graphic>
                </wp:inline>
              </w:drawing>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79170" cy="862965"/>
                  <wp:effectExtent l="0" t="0" r="0" b="0"/>
                  <wp:docPr id="30982" name="图片 30982" descr="当心跌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2" name="图片 30982" descr="当心跌落"/>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a:xfrm>
                            <a:off x="0" y="0"/>
                            <a:ext cx="994421" cy="8760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当心火车</w:t>
            </w:r>
          </w:p>
          <w:p>
            <w:pPr>
              <w:widowControl/>
              <w:jc w:val="center"/>
              <w:rPr>
                <w:rFonts w:ascii="Calibri" w:hAnsi="Calibri" w:eastAsia="宋体" w:cs="Times New Roman"/>
                <w:sz w:val="18"/>
                <w:szCs w:val="18"/>
              </w:rPr>
            </w:pPr>
            <w:r>
              <w:rPr>
                <w:rFonts w:ascii="Calibri" w:hAnsi="Calibri" w:eastAsia="宋体" w:cs="Times New Roman"/>
                <w:sz w:val="18"/>
                <w:szCs w:val="18"/>
              </w:rPr>
              <w:t>Warning train</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当心坠落</w:t>
            </w:r>
          </w:p>
          <w:p>
            <w:pPr>
              <w:widowControl/>
              <w:jc w:val="center"/>
              <w:rPr>
                <w:rFonts w:ascii="Calibri" w:hAnsi="Calibri" w:eastAsia="宋体" w:cs="Times New Roman"/>
                <w:sz w:val="18"/>
                <w:szCs w:val="18"/>
              </w:rPr>
            </w:pPr>
            <w:r>
              <w:rPr>
                <w:rFonts w:ascii="Calibri" w:hAnsi="Calibri" w:eastAsia="宋体" w:cs="Times New Roman"/>
                <w:sz w:val="18"/>
                <w:szCs w:val="18"/>
              </w:rPr>
              <w:t>Warning drop down</w:t>
            </w:r>
          </w:p>
        </w:tc>
        <w:tc>
          <w:tcPr>
            <w:tcW w:w="2126"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当心障碍物</w:t>
            </w:r>
          </w:p>
          <w:p>
            <w:pPr>
              <w:widowControl/>
              <w:jc w:val="center"/>
              <w:rPr>
                <w:rFonts w:ascii="Calibri" w:hAnsi="Calibri" w:eastAsia="宋体" w:cs="Times New Roman"/>
                <w:sz w:val="18"/>
                <w:szCs w:val="18"/>
              </w:rPr>
            </w:pPr>
            <w:r>
              <w:rPr>
                <w:rFonts w:ascii="Calibri" w:hAnsi="Calibri" w:eastAsia="宋体" w:cs="Times New Roman"/>
                <w:sz w:val="18"/>
                <w:szCs w:val="18"/>
              </w:rPr>
              <w:t>Warning obstacles</w:t>
            </w:r>
          </w:p>
        </w:tc>
        <w:tc>
          <w:tcPr>
            <w:tcW w:w="198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当心跌落</w:t>
            </w:r>
          </w:p>
          <w:p>
            <w:pPr>
              <w:widowControl/>
              <w:jc w:val="center"/>
              <w:rPr>
                <w:rFonts w:ascii="Calibri" w:hAnsi="Calibri" w:eastAsia="宋体" w:cs="Times New Roman"/>
                <w:sz w:val="18"/>
                <w:szCs w:val="18"/>
              </w:rPr>
            </w:pPr>
            <w:r>
              <w:rPr>
                <w:rFonts w:ascii="Calibri" w:hAnsi="Calibri" w:eastAsia="宋体" w:cs="Times New Roman"/>
                <w:sz w:val="18"/>
                <w:szCs w:val="18"/>
              </w:rPr>
              <w:t>Warning drop(fall)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4"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厂内铁路与道路平交路口，厂（矿）内铁路运输线等。</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易发生坠落事故的作业地点，如：脚手架、高处平台、地面的深沟（池、槽）、建筑施工、高处作业场所等。</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地面有障碍物，绊倒易造成伤害的地点。</w:t>
            </w:r>
          </w:p>
        </w:tc>
        <w:tc>
          <w:tcPr>
            <w:tcW w:w="198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易于跌落的地点，如：楼梯、台阶等。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2－37</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2－38</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2－39</w:t>
            </w:r>
          </w:p>
        </w:tc>
        <w:tc>
          <w:tcPr>
            <w:tcW w:w="1985" w:type="dxa"/>
            <w:vAlign w:val="center"/>
          </w:tcPr>
          <w:p>
            <w:pPr>
              <w:widowControl/>
              <w:jc w:val="center"/>
              <w:rPr>
                <w:rFonts w:ascii="Calibri" w:hAnsi="Calibri"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888365" cy="803275"/>
                  <wp:effectExtent l="0" t="0" r="6985" b="0"/>
                  <wp:docPr id="30983" name="图片 30983" descr="当心滑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3" name="图片 30983" descr="当心滑倒"/>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a:xfrm>
                            <a:off x="0" y="0"/>
                            <a:ext cx="897824" cy="812358"/>
                          </a:xfrm>
                          <a:prstGeom prst="rect">
                            <a:avLst/>
                          </a:prstGeom>
                          <a:noFill/>
                          <a:ln>
                            <a:noFill/>
                          </a:ln>
                        </pic:spPr>
                      </pic:pic>
                    </a:graphicData>
                  </a:graphic>
                </wp:inline>
              </w:drawing>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845820" cy="735330"/>
                  <wp:effectExtent l="0" t="0" r="0" b="7620"/>
                  <wp:docPr id="30984" name="图片 309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4" name="图片 30984" descr="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a:xfrm>
                            <a:off x="0" y="0"/>
                            <a:ext cx="860884" cy="748100"/>
                          </a:xfrm>
                          <a:prstGeom prst="rect">
                            <a:avLst/>
                          </a:prstGeom>
                          <a:noFill/>
                          <a:ln>
                            <a:noFill/>
                          </a:ln>
                        </pic:spPr>
                      </pic:pic>
                    </a:graphicData>
                  </a:graphic>
                </wp:inline>
              </w:drawing>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809625" cy="722630"/>
                  <wp:effectExtent l="0" t="0" r="0" b="1270"/>
                  <wp:docPr id="30985" name="图片 30985" descr="当心缝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5" name="图片 30985" descr="当心缝隙"/>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a:xfrm>
                            <a:off x="0" y="0"/>
                            <a:ext cx="821600" cy="733581"/>
                          </a:xfrm>
                          <a:prstGeom prst="rect">
                            <a:avLst/>
                          </a:prstGeom>
                          <a:noFill/>
                          <a:ln>
                            <a:noFill/>
                          </a:ln>
                        </pic:spPr>
                      </pic:pic>
                    </a:graphicData>
                  </a:graphic>
                </wp:inline>
              </w:drawing>
            </w:r>
          </w:p>
        </w:tc>
        <w:tc>
          <w:tcPr>
            <w:tcW w:w="1985" w:type="dxa"/>
            <w:vAlign w:val="center"/>
          </w:tcPr>
          <w:p>
            <w:pPr>
              <w:widowControl/>
              <w:jc w:val="center"/>
              <w:rPr>
                <w:rFonts w:ascii="Calibri" w:hAnsi="Calibri"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1984"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当心滑倒</w:t>
            </w:r>
          </w:p>
          <w:p>
            <w:pPr>
              <w:widowControl/>
              <w:jc w:val="center"/>
              <w:rPr>
                <w:rFonts w:ascii="Calibri" w:hAnsi="Calibri" w:eastAsia="宋体" w:cs="Times New Roman"/>
                <w:sz w:val="18"/>
                <w:szCs w:val="18"/>
              </w:rPr>
            </w:pPr>
            <w:r>
              <w:rPr>
                <w:rFonts w:ascii="Calibri" w:hAnsi="Calibri" w:eastAsia="宋体" w:cs="Times New Roman"/>
                <w:sz w:val="18"/>
                <w:szCs w:val="18"/>
              </w:rPr>
              <w:t>Warning slippery surface</w:t>
            </w:r>
          </w:p>
        </w:tc>
        <w:tc>
          <w:tcPr>
            <w:tcW w:w="2410" w:type="dxa"/>
            <w:vAlign w:val="center"/>
          </w:tcPr>
          <w:p>
            <w:pPr>
              <w:jc w:val="center"/>
              <w:rPr>
                <w:rFonts w:ascii="Calibri" w:hAnsi="Calibri" w:eastAsia="宋体" w:cs="Times New Roman"/>
                <w:sz w:val="18"/>
                <w:szCs w:val="18"/>
              </w:rPr>
            </w:pPr>
            <w:r>
              <w:rPr>
                <w:rFonts w:ascii="Calibri" w:hAnsi="Calibri" w:eastAsia="宋体" w:cs="Times New Roman"/>
                <w:sz w:val="18"/>
                <w:szCs w:val="18"/>
              </w:rPr>
              <w:t>当心落水</w:t>
            </w:r>
          </w:p>
          <w:p>
            <w:pPr>
              <w:widowControl/>
              <w:jc w:val="center"/>
              <w:rPr>
                <w:rFonts w:ascii="Calibri" w:hAnsi="Calibri" w:eastAsia="宋体" w:cs="Times New Roman"/>
                <w:sz w:val="18"/>
                <w:szCs w:val="18"/>
              </w:rPr>
            </w:pPr>
            <w:r>
              <w:rPr>
                <w:rFonts w:ascii="Calibri" w:hAnsi="Calibri" w:eastAsia="宋体" w:cs="Times New Roman"/>
                <w:sz w:val="18"/>
                <w:szCs w:val="18"/>
              </w:rPr>
              <w:t>Warning falling into water</w:t>
            </w:r>
          </w:p>
        </w:tc>
        <w:tc>
          <w:tcPr>
            <w:tcW w:w="2126"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当心缝隙</w:t>
            </w:r>
          </w:p>
          <w:p>
            <w:pPr>
              <w:widowControl/>
              <w:jc w:val="center"/>
              <w:rPr>
                <w:rFonts w:ascii="Calibri" w:hAnsi="Calibri" w:eastAsia="宋体" w:cs="Times New Roman"/>
                <w:sz w:val="18"/>
                <w:szCs w:val="18"/>
              </w:rPr>
            </w:pPr>
            <w:r>
              <w:rPr>
                <w:rFonts w:ascii="Calibri" w:hAnsi="Calibri" w:eastAsia="宋体" w:cs="Times New Roman"/>
                <w:sz w:val="18"/>
                <w:szCs w:val="18"/>
              </w:rPr>
              <w:t>Warning gap</w:t>
            </w:r>
          </w:p>
        </w:tc>
        <w:tc>
          <w:tcPr>
            <w:tcW w:w="1985" w:type="dxa"/>
            <w:vAlign w:val="center"/>
          </w:tcPr>
          <w:p>
            <w:pPr>
              <w:widowControl/>
              <w:jc w:val="center"/>
              <w:rPr>
                <w:rFonts w:ascii="Calibri" w:hAnsi="Calibri"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1985" w:type="dxa"/>
            <w:vAlign w:val="center"/>
          </w:tcPr>
          <w:p>
            <w:pPr>
              <w:widowControl/>
              <w:jc w:val="center"/>
              <w:rPr>
                <w:rFonts w:ascii="Calibri" w:hAnsi="Calibri"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7" w:hRule="atLeast"/>
          <w:jc w:val="center"/>
        </w:trPr>
        <w:tc>
          <w:tcPr>
            <w:tcW w:w="846"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1984"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地面有易造成伤害的滑跌地点，如：地面有油、冰、水等物质及滑坡处。</w:t>
            </w:r>
          </w:p>
        </w:tc>
        <w:tc>
          <w:tcPr>
            <w:tcW w:w="2410"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落水后有可能产生淹溺的场所或部位，如城市河流、消防水池等。</w:t>
            </w:r>
          </w:p>
        </w:tc>
        <w:tc>
          <w:tcPr>
            <w:tcW w:w="2126"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有缝隙的装置、设备或场所，如自动门、电梯门、列车等。</w:t>
            </w:r>
          </w:p>
        </w:tc>
        <w:tc>
          <w:tcPr>
            <w:tcW w:w="1985" w:type="dxa"/>
            <w:vAlign w:val="center"/>
          </w:tcPr>
          <w:p>
            <w:pPr>
              <w:widowControl/>
              <w:jc w:val="center"/>
              <w:rPr>
                <w:rFonts w:ascii="Calibri" w:hAnsi="Calibri" w:eastAsia="宋体" w:cs="Times New Roman"/>
                <w:sz w:val="18"/>
                <w:szCs w:val="18"/>
              </w:rPr>
            </w:pPr>
          </w:p>
        </w:tc>
      </w:tr>
    </w:tbl>
    <w:p>
      <w:pPr>
        <w:pStyle w:val="2"/>
      </w:pPr>
    </w:p>
    <w:p>
      <w:pPr>
        <w:spacing w:after="120"/>
        <w:ind w:firstLine="480" w:firstLineChars="200"/>
        <w:rPr>
          <w:rFonts w:eastAsia="宋体" w:cs="Times New Roman"/>
          <w:sz w:val="24"/>
          <w:szCs w:val="21"/>
        </w:rPr>
      </w:pPr>
      <w:r>
        <w:rPr>
          <w:rFonts w:eastAsia="宋体" w:cs="Times New Roman"/>
          <w:sz w:val="24"/>
          <w:szCs w:val="21"/>
        </w:rPr>
        <w:t>（三）指令标识</w:t>
      </w:r>
    </w:p>
    <w:p>
      <w:pPr>
        <w:pStyle w:val="2"/>
        <w:jc w:val="center"/>
        <w:rPr>
          <w:sz w:val="21"/>
          <w:szCs w:val="21"/>
        </w:rPr>
      </w:pPr>
      <w:r>
        <w:rPr>
          <w:rFonts w:hint="eastAsia"/>
          <w:sz w:val="21"/>
          <w:szCs w:val="21"/>
        </w:rPr>
        <w:t>表1</w:t>
      </w:r>
      <w:r>
        <w:rPr>
          <w:sz w:val="21"/>
          <w:szCs w:val="21"/>
        </w:rPr>
        <w:t>4.6</w:t>
      </w:r>
      <w:r>
        <w:rPr>
          <w:rFonts w:hint="eastAsia"/>
          <w:sz w:val="21"/>
          <w:szCs w:val="21"/>
        </w:rPr>
        <w:t>-</w:t>
      </w:r>
      <w:r>
        <w:rPr>
          <w:sz w:val="21"/>
          <w:szCs w:val="21"/>
        </w:rPr>
        <w:t>3</w:t>
      </w:r>
      <w:r>
        <w:rPr>
          <w:rFonts w:hint="eastAsia"/>
          <w:sz w:val="21"/>
          <w:szCs w:val="21"/>
        </w:rPr>
        <w:t>指令标志示例</w:t>
      </w:r>
    </w:p>
    <w:tbl>
      <w:tblPr>
        <w:tblStyle w:val="38"/>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2014"/>
        <w:gridCol w:w="2691"/>
        <w:gridCol w:w="2291"/>
        <w:gridCol w:w="12"/>
        <w:gridCol w:w="1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0" w:hRule="atLeast"/>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3－1</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3－2</w:t>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3－3</w:t>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2" w:hRule="atLeast"/>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73760" cy="873760"/>
                  <wp:effectExtent l="0" t="0" r="2540" b="2540"/>
                  <wp:docPr id="30986" name="图片 30986" descr="http://www.hbsafety.cn/article/UploadPic/2006-12/20061227119383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6" name="图片 30986" descr="http://www.hbsafety.cn/article/UploadPic/2006-12/2006122711938331.gif"/>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a:xfrm>
                            <a:off x="0" y="0"/>
                            <a:ext cx="882171" cy="882171"/>
                          </a:xfrm>
                          <a:prstGeom prst="rect">
                            <a:avLst/>
                          </a:prstGeom>
                          <a:noFill/>
                          <a:ln>
                            <a:noFill/>
                          </a:ln>
                        </pic:spPr>
                      </pic:pic>
                    </a:graphicData>
                  </a:graphic>
                </wp:inline>
              </w:drawing>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21385" cy="846455"/>
                  <wp:effectExtent l="0" t="0" r="0" b="0"/>
                  <wp:docPr id="30987" name="图片 30987" descr="必须配戴遮光护目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7" name="图片 30987" descr="必须配戴遮光护目镜"/>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a:xfrm>
                            <a:off x="0" y="0"/>
                            <a:ext cx="933549" cy="857690"/>
                          </a:xfrm>
                          <a:prstGeom prst="rect">
                            <a:avLst/>
                          </a:prstGeom>
                          <a:noFill/>
                          <a:ln>
                            <a:noFill/>
                          </a:ln>
                        </pic:spPr>
                      </pic:pic>
                    </a:graphicData>
                  </a:graphic>
                </wp:inline>
              </w:drawing>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16610" cy="816610"/>
                  <wp:effectExtent l="0" t="0" r="2540" b="2540"/>
                  <wp:docPr id="30988" name="图片 30988" descr="http://www.hbsafety.cn/article/UploadPic/2006-12/20061227119388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8" name="图片 30988" descr="http://www.hbsafety.cn/article/UploadPic/2006-12/2006122711938826.gif"/>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a:xfrm>
                            <a:off x="0" y="0"/>
                            <a:ext cx="821672" cy="821672"/>
                          </a:xfrm>
                          <a:prstGeom prst="rect">
                            <a:avLst/>
                          </a:prstGeom>
                          <a:noFill/>
                          <a:ln>
                            <a:noFill/>
                          </a:ln>
                        </pic:spPr>
                      </pic:pic>
                    </a:graphicData>
                  </a:graphic>
                </wp:inline>
              </w:drawing>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17880" cy="817880"/>
                  <wp:effectExtent l="0" t="0" r="1270" b="1270"/>
                  <wp:docPr id="30989" name="图片 30989" descr="http://www.hbsafety.cn/article/UploadPic/2006-12/20061227119386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9" name="图片 30989" descr="http://www.hbsafety.cn/article/UploadPic/2006-12/2006122711938620.gif"/>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a:xfrm>
                            <a:off x="0" y="0"/>
                            <a:ext cx="823273" cy="82327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2022"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必须带防护眼镜</w:t>
            </w:r>
          </w:p>
          <w:p>
            <w:pPr>
              <w:widowControl/>
              <w:jc w:val="center"/>
              <w:rPr>
                <w:rFonts w:ascii="Calibri" w:hAnsi="Calibri" w:eastAsia="宋体" w:cs="Times New Roman"/>
                <w:sz w:val="18"/>
                <w:szCs w:val="18"/>
              </w:rPr>
            </w:pPr>
            <w:r>
              <w:rPr>
                <w:rFonts w:ascii="Calibri" w:hAnsi="Calibri" w:eastAsia="宋体" w:cs="Times New Roman"/>
                <w:sz w:val="18"/>
                <w:szCs w:val="18"/>
              </w:rPr>
              <w:t>Must wear protective goggles</w:t>
            </w:r>
          </w:p>
        </w:tc>
        <w:tc>
          <w:tcPr>
            <w:tcW w:w="2721"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必须配戴遮光护目镜</w:t>
            </w:r>
          </w:p>
          <w:p>
            <w:pPr>
              <w:widowControl/>
              <w:jc w:val="center"/>
              <w:rPr>
                <w:rFonts w:ascii="Calibri" w:hAnsi="Calibri" w:eastAsia="宋体" w:cs="Times New Roman"/>
                <w:sz w:val="18"/>
                <w:szCs w:val="18"/>
              </w:rPr>
            </w:pPr>
            <w:r>
              <w:rPr>
                <w:rFonts w:ascii="Calibri" w:hAnsi="Calibri" w:eastAsia="宋体" w:cs="Times New Roman"/>
                <w:sz w:val="18"/>
                <w:szCs w:val="18"/>
              </w:rPr>
              <w:t>Must wear opaque eye protection</w:t>
            </w:r>
          </w:p>
        </w:tc>
        <w:tc>
          <w:tcPr>
            <w:tcW w:w="2320"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必须戴防尘口罩</w:t>
            </w:r>
          </w:p>
          <w:p>
            <w:pPr>
              <w:widowControl/>
              <w:jc w:val="center"/>
              <w:rPr>
                <w:rFonts w:ascii="Calibri" w:hAnsi="Calibri" w:eastAsia="宋体" w:cs="Times New Roman"/>
                <w:sz w:val="18"/>
                <w:szCs w:val="18"/>
              </w:rPr>
            </w:pPr>
            <w:r>
              <w:rPr>
                <w:rFonts w:ascii="Calibri" w:hAnsi="Calibri" w:eastAsia="宋体" w:cs="Times New Roman"/>
                <w:sz w:val="18"/>
                <w:szCs w:val="18"/>
              </w:rPr>
              <w:t>Must wear dustproof mask</w:t>
            </w:r>
          </w:p>
        </w:tc>
        <w:tc>
          <w:tcPr>
            <w:tcW w:w="1723"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必须戴防毒面具</w:t>
            </w:r>
          </w:p>
          <w:p>
            <w:pPr>
              <w:widowControl/>
              <w:jc w:val="center"/>
              <w:rPr>
                <w:rFonts w:ascii="Calibri" w:hAnsi="Calibri" w:eastAsia="宋体" w:cs="Times New Roman"/>
                <w:sz w:val="18"/>
                <w:szCs w:val="18"/>
              </w:rPr>
            </w:pPr>
            <w:r>
              <w:rPr>
                <w:rFonts w:ascii="Calibri" w:hAnsi="Calibri" w:eastAsia="宋体" w:cs="Times New Roman"/>
                <w:sz w:val="18"/>
                <w:szCs w:val="18"/>
              </w:rPr>
              <w:t>Must wear gas defence mask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J.H</w:t>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w:t>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对眼镜有伤害的各种作业场所和施工场所。</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存在紫外、红外、激光等光辐射的场所，如电气焊等。</w:t>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具有粉尘的作业场所，如：纺织清花车间、粉状物料拌料车间以及矿山凿岩处等。</w:t>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具有对人体有害的气体、气溶胶、烟尘等作业场所，如：有毒物散发的地点或处理由毒物造成的事故现场。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3－5</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3－6</w:t>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3－7</w:t>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1"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01700" cy="901700"/>
                  <wp:effectExtent l="0" t="0" r="0" b="0"/>
                  <wp:docPr id="30990" name="图片 30990" descr="http://www.hbsafety.cn/article/UploadPic/2006-12/20061227119389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0" name="图片 30990" descr="http://www.hbsafety.cn/article/UploadPic/2006-12/2006122711938914.gif"/>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a:xfrm>
                            <a:off x="0" y="0"/>
                            <a:ext cx="908233" cy="908233"/>
                          </a:xfrm>
                          <a:prstGeom prst="rect">
                            <a:avLst/>
                          </a:prstGeom>
                          <a:noFill/>
                          <a:ln>
                            <a:noFill/>
                          </a:ln>
                        </pic:spPr>
                      </pic:pic>
                    </a:graphicData>
                  </a:graphic>
                </wp:inline>
              </w:drawing>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08050" cy="908050"/>
                  <wp:effectExtent l="0" t="0" r="6350" b="6350"/>
                  <wp:docPr id="30991" name="图片 30991" descr="http://www.hbsafety.cn/article/UploadPic/2006-12/20061227119379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1" name="图片 30991" descr="http://www.hbsafety.cn/article/UploadPic/2006-12/2006122711937984.gif"/>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a:xfrm>
                            <a:off x="0" y="0"/>
                            <a:ext cx="916311" cy="916311"/>
                          </a:xfrm>
                          <a:prstGeom prst="rect">
                            <a:avLst/>
                          </a:prstGeom>
                          <a:noFill/>
                          <a:ln>
                            <a:noFill/>
                          </a:ln>
                        </pic:spPr>
                      </pic:pic>
                    </a:graphicData>
                  </a:graphic>
                </wp:inline>
              </w:drawing>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37895" cy="937895"/>
                  <wp:effectExtent l="0" t="0" r="0" b="0"/>
                  <wp:docPr id="30992" name="图片 30992" descr="http://www.hbsafety.cn/article/UploadPic/2006-12/20061227119382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2" name="图片 30992" descr="http://www.hbsafety.cn/article/UploadPic/2006-12/2006122711938264.gif"/>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a:xfrm>
                            <a:off x="0" y="0"/>
                            <a:ext cx="948947" cy="948947"/>
                          </a:xfrm>
                          <a:prstGeom prst="rect">
                            <a:avLst/>
                          </a:prstGeom>
                          <a:noFill/>
                          <a:ln>
                            <a:noFill/>
                          </a:ln>
                        </pic:spPr>
                      </pic:pic>
                    </a:graphicData>
                  </a:graphic>
                </wp:inline>
              </w:drawing>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48055" cy="869315"/>
                  <wp:effectExtent l="0" t="0" r="4445" b="6985"/>
                  <wp:docPr id="30993" name="图片 30993" descr="必须系安全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3" name="图片 30993" descr="必须系安全带"/>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a:xfrm>
                            <a:off x="0" y="0"/>
                            <a:ext cx="969728" cy="889282"/>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2022"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必须戴护耳器</w:t>
            </w:r>
          </w:p>
          <w:p>
            <w:pPr>
              <w:widowControl/>
              <w:jc w:val="center"/>
              <w:rPr>
                <w:rFonts w:ascii="Calibri" w:hAnsi="Calibri" w:eastAsia="宋体" w:cs="Times New Roman"/>
                <w:sz w:val="18"/>
                <w:szCs w:val="18"/>
              </w:rPr>
            </w:pPr>
            <w:r>
              <w:rPr>
                <w:rFonts w:ascii="Calibri" w:hAnsi="Calibri" w:eastAsia="宋体" w:cs="Times New Roman"/>
                <w:sz w:val="18"/>
                <w:szCs w:val="18"/>
              </w:rPr>
              <w:t>Must wear ear protector</w:t>
            </w:r>
          </w:p>
        </w:tc>
        <w:tc>
          <w:tcPr>
            <w:tcW w:w="2721"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必须戴安全帽</w:t>
            </w:r>
          </w:p>
          <w:p>
            <w:pPr>
              <w:widowControl/>
              <w:jc w:val="center"/>
              <w:rPr>
                <w:rFonts w:ascii="Calibri" w:hAnsi="Calibri" w:eastAsia="宋体" w:cs="Times New Roman"/>
                <w:sz w:val="18"/>
                <w:szCs w:val="18"/>
              </w:rPr>
            </w:pPr>
            <w:r>
              <w:rPr>
                <w:rFonts w:ascii="Calibri" w:hAnsi="Calibri" w:eastAsia="宋体" w:cs="Times New Roman"/>
                <w:sz w:val="18"/>
                <w:szCs w:val="18"/>
              </w:rPr>
              <w:t>Must wear safety helmet</w:t>
            </w:r>
          </w:p>
        </w:tc>
        <w:tc>
          <w:tcPr>
            <w:tcW w:w="2320"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必须戴防护帽</w:t>
            </w:r>
          </w:p>
          <w:p>
            <w:pPr>
              <w:widowControl/>
              <w:jc w:val="center"/>
              <w:rPr>
                <w:rFonts w:ascii="Calibri" w:hAnsi="Calibri" w:eastAsia="宋体" w:cs="Times New Roman"/>
                <w:sz w:val="18"/>
                <w:szCs w:val="18"/>
              </w:rPr>
            </w:pPr>
            <w:r>
              <w:rPr>
                <w:rFonts w:ascii="Calibri" w:hAnsi="Calibri" w:eastAsia="宋体" w:cs="Times New Roman"/>
                <w:sz w:val="18"/>
                <w:szCs w:val="18"/>
              </w:rPr>
              <w:t>Must wear protective cap</w:t>
            </w:r>
          </w:p>
        </w:tc>
        <w:tc>
          <w:tcPr>
            <w:tcW w:w="1723"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必须系安全带</w:t>
            </w:r>
          </w:p>
          <w:p>
            <w:pPr>
              <w:widowControl/>
              <w:jc w:val="center"/>
              <w:rPr>
                <w:rFonts w:ascii="Calibri" w:hAnsi="Calibri" w:eastAsia="宋体" w:cs="Times New Roman"/>
                <w:sz w:val="18"/>
                <w:szCs w:val="18"/>
              </w:rPr>
            </w:pPr>
            <w:r>
              <w:rPr>
                <w:rFonts w:ascii="Calibri" w:hAnsi="Calibri" w:eastAsia="宋体" w:cs="Times New Roman"/>
                <w:sz w:val="18"/>
                <w:szCs w:val="18"/>
              </w:rPr>
              <w:t>Must fastened safety belt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w:t>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w:t>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9"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噪声超过85dB的作业场所，如：铆接车间、织布车间、射击场、工程爆破、风动掘进等处。</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头部易受外力伤害的作业场所，如：矿山、建筑工地、伐木场、造船厂及起重吊装处等。</w:t>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易造成人体碾烧伤害或有粉尘污染头部的作业场所，如：纺织、石棉、玻璃纤维以及具有旋转设备的机加工车间等。</w:t>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易发生坠落危险的作业场所，如：高处建筑、修理、安装等地点。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3－9</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3－10</w:t>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3－11</w:t>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1"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70915" cy="970915"/>
                  <wp:effectExtent l="0" t="0" r="635" b="635"/>
                  <wp:docPr id="30994" name="图片 30994" descr="http://www.hbsafety.cn/article/UploadPic/2006-12/20061227119376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4" name="图片 30994" descr="http://www.hbsafety.cn/article/UploadPic/2006-12/2006122711937685.gif"/>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a:xfrm>
                            <a:off x="0" y="0"/>
                            <a:ext cx="977527" cy="977527"/>
                          </a:xfrm>
                          <a:prstGeom prst="rect">
                            <a:avLst/>
                          </a:prstGeom>
                          <a:noFill/>
                          <a:ln>
                            <a:noFill/>
                          </a:ln>
                        </pic:spPr>
                      </pic:pic>
                    </a:graphicData>
                  </a:graphic>
                </wp:inline>
              </w:drawing>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51865" cy="951865"/>
                  <wp:effectExtent l="0" t="0" r="635" b="635"/>
                  <wp:docPr id="30995" name="图片 30995" descr="http://www.hbsafety.cn/article/UploadPic/2006-12/20061227119358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5" name="图片 30995" descr="http://www.hbsafety.cn/article/UploadPic/2006-12/2006122711935878.gif"/>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a:xfrm>
                            <a:off x="0" y="0"/>
                            <a:ext cx="958050" cy="958050"/>
                          </a:xfrm>
                          <a:prstGeom prst="rect">
                            <a:avLst/>
                          </a:prstGeom>
                          <a:noFill/>
                          <a:ln>
                            <a:noFill/>
                          </a:ln>
                        </pic:spPr>
                      </pic:pic>
                    </a:graphicData>
                  </a:graphic>
                </wp:inline>
              </w:drawing>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59485" cy="959485"/>
                  <wp:effectExtent l="0" t="0" r="0" b="0"/>
                  <wp:docPr id="30996" name="图片 30996" descr="http://www.hbsafety.cn/article/UploadPic/2006-12/20061227119382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6" name="图片 30996" descr="http://www.hbsafety.cn/article/UploadPic/2006-12/2006122711938279.gif"/>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a:xfrm>
                            <a:off x="0" y="0"/>
                            <a:ext cx="964406" cy="964406"/>
                          </a:xfrm>
                          <a:prstGeom prst="rect">
                            <a:avLst/>
                          </a:prstGeom>
                          <a:noFill/>
                          <a:ln>
                            <a:noFill/>
                          </a:ln>
                        </pic:spPr>
                      </pic:pic>
                    </a:graphicData>
                  </a:graphic>
                </wp:inline>
              </w:drawing>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98220" cy="998220"/>
                  <wp:effectExtent l="0" t="0" r="0" b="0"/>
                  <wp:docPr id="30997" name="图片 30997" descr="http://www.hbsafety.cn/article/UploadPic/2006-12/20061227119371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7" name="图片 30997" descr="http://www.hbsafety.cn/article/UploadPic/2006-12/2006122711937151.gif"/>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a:xfrm>
                            <a:off x="0" y="0"/>
                            <a:ext cx="1004492" cy="1004492"/>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4"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2022"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必须穿救生衣</w:t>
            </w:r>
          </w:p>
          <w:p>
            <w:pPr>
              <w:widowControl/>
              <w:jc w:val="center"/>
              <w:rPr>
                <w:rFonts w:ascii="Calibri" w:hAnsi="Calibri" w:eastAsia="宋体" w:cs="Times New Roman"/>
                <w:sz w:val="18"/>
                <w:szCs w:val="18"/>
              </w:rPr>
            </w:pPr>
            <w:r>
              <w:rPr>
                <w:rFonts w:ascii="Calibri" w:hAnsi="Calibri" w:eastAsia="宋体" w:cs="Times New Roman"/>
                <w:sz w:val="18"/>
                <w:szCs w:val="18"/>
              </w:rPr>
              <w:t>Must wear life jacket</w:t>
            </w:r>
          </w:p>
        </w:tc>
        <w:tc>
          <w:tcPr>
            <w:tcW w:w="2721"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必须穿防护服</w:t>
            </w:r>
          </w:p>
          <w:p>
            <w:pPr>
              <w:widowControl/>
              <w:jc w:val="center"/>
              <w:rPr>
                <w:rFonts w:ascii="Calibri" w:hAnsi="Calibri" w:eastAsia="宋体" w:cs="Times New Roman"/>
                <w:sz w:val="18"/>
                <w:szCs w:val="18"/>
              </w:rPr>
            </w:pPr>
            <w:r>
              <w:rPr>
                <w:rFonts w:ascii="Calibri" w:hAnsi="Calibri" w:eastAsia="宋体" w:cs="Times New Roman"/>
                <w:sz w:val="18"/>
                <w:szCs w:val="18"/>
              </w:rPr>
              <w:t>Must wear protective clothes</w:t>
            </w:r>
          </w:p>
        </w:tc>
        <w:tc>
          <w:tcPr>
            <w:tcW w:w="2320"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必须戴防护手套</w:t>
            </w:r>
          </w:p>
          <w:p>
            <w:pPr>
              <w:widowControl/>
              <w:jc w:val="center"/>
              <w:rPr>
                <w:rFonts w:ascii="Calibri" w:hAnsi="Calibri" w:eastAsia="宋体" w:cs="Times New Roman"/>
                <w:sz w:val="18"/>
                <w:szCs w:val="18"/>
              </w:rPr>
            </w:pPr>
            <w:r>
              <w:rPr>
                <w:rFonts w:ascii="Calibri" w:hAnsi="Calibri" w:eastAsia="宋体" w:cs="Times New Roman"/>
                <w:sz w:val="18"/>
                <w:szCs w:val="18"/>
              </w:rPr>
              <w:t>Must wear protective gloves</w:t>
            </w:r>
          </w:p>
        </w:tc>
        <w:tc>
          <w:tcPr>
            <w:tcW w:w="1723"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必须穿防护鞋</w:t>
            </w:r>
          </w:p>
          <w:p>
            <w:pPr>
              <w:widowControl/>
              <w:jc w:val="center"/>
              <w:rPr>
                <w:rFonts w:ascii="Calibri" w:hAnsi="Calibri" w:eastAsia="宋体" w:cs="Times New Roman"/>
                <w:sz w:val="18"/>
                <w:szCs w:val="18"/>
              </w:rPr>
            </w:pPr>
            <w:r>
              <w:rPr>
                <w:rFonts w:ascii="Calibri" w:hAnsi="Calibri" w:eastAsia="宋体" w:cs="Times New Roman"/>
                <w:sz w:val="18"/>
                <w:szCs w:val="18"/>
              </w:rPr>
              <w:t>Must wear protective shoes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w:t>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6"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易发生溺水的作业场所，如：船舶、海上工程结构物等。</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具有放射、微波、高温及其他需穿防护服的作业场所。</w:t>
            </w:r>
          </w:p>
        </w:tc>
        <w:tc>
          <w:tcPr>
            <w:tcW w:w="2320"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易伤害手部的作业场所，如：具有腐蚀、污染、灼烫、冰冻及触电危险的作业等地点。</w:t>
            </w:r>
          </w:p>
        </w:tc>
        <w:tc>
          <w:tcPr>
            <w:tcW w:w="1723"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易伤害脚部的作业场所，如：具有腐蚀、灼烫、触电、砸（刺）伤等危险的作业地点。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3－13</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3－14</w:t>
            </w:r>
          </w:p>
        </w:tc>
        <w:tc>
          <w:tcPr>
            <w:tcW w:w="2308"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3－15</w:t>
            </w:r>
          </w:p>
        </w:tc>
        <w:tc>
          <w:tcPr>
            <w:tcW w:w="1735"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3－16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3"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10590" cy="862965"/>
                  <wp:effectExtent l="0" t="0" r="3810" b="0"/>
                  <wp:docPr id="30998" name="图片 30998" descr="必须洗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8" name="图片 30998" descr="必须洗手"/>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a:xfrm>
                            <a:off x="0" y="0"/>
                            <a:ext cx="924106" cy="875790"/>
                          </a:xfrm>
                          <a:prstGeom prst="rect">
                            <a:avLst/>
                          </a:prstGeom>
                          <a:noFill/>
                          <a:ln>
                            <a:noFill/>
                          </a:ln>
                        </pic:spPr>
                      </pic:pic>
                    </a:graphicData>
                  </a:graphic>
                </wp:inline>
              </w:drawing>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875665" cy="875665"/>
                  <wp:effectExtent l="0" t="0" r="635" b="635"/>
                  <wp:docPr id="30999" name="图片 30999" descr="http://www.hbsafety.cn/article/UploadPic/2006-12/20061227119387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9" name="图片 30999" descr="http://www.hbsafety.cn/article/UploadPic/2006-12/2006122711938757.gif"/>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a:xfrm>
                            <a:off x="0" y="0"/>
                            <a:ext cx="882398" cy="882398"/>
                          </a:xfrm>
                          <a:prstGeom prst="rect">
                            <a:avLst/>
                          </a:prstGeom>
                          <a:noFill/>
                          <a:ln>
                            <a:noFill/>
                          </a:ln>
                        </pic:spPr>
                      </pic:pic>
                    </a:graphicData>
                  </a:graphic>
                </wp:inline>
              </w:drawing>
            </w:r>
          </w:p>
        </w:tc>
        <w:tc>
          <w:tcPr>
            <w:tcW w:w="2308"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879475" cy="848995"/>
                  <wp:effectExtent l="0" t="0" r="0" b="8255"/>
                  <wp:docPr id="31000" name="图片 31000" descr="必须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0" name="图片 31000" descr="必须接地"/>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a:xfrm>
                            <a:off x="0" y="0"/>
                            <a:ext cx="892059" cy="861152"/>
                          </a:xfrm>
                          <a:prstGeom prst="rect">
                            <a:avLst/>
                          </a:prstGeom>
                          <a:noFill/>
                          <a:ln>
                            <a:noFill/>
                          </a:ln>
                        </pic:spPr>
                      </pic:pic>
                    </a:graphicData>
                  </a:graphic>
                </wp:inline>
              </w:drawing>
            </w:r>
          </w:p>
        </w:tc>
        <w:tc>
          <w:tcPr>
            <w:tcW w:w="1735"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26465" cy="842645"/>
                  <wp:effectExtent l="0" t="0" r="6985" b="0"/>
                  <wp:docPr id="31001" name="图片 310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1" name="图片 31001" descr="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a:xfrm>
                            <a:off x="0" y="0"/>
                            <a:ext cx="945541" cy="86044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2022"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必须洗手</w:t>
            </w:r>
          </w:p>
          <w:p>
            <w:pPr>
              <w:widowControl/>
              <w:jc w:val="center"/>
              <w:rPr>
                <w:rFonts w:ascii="Calibri" w:hAnsi="Calibri" w:eastAsia="宋体" w:cs="Times New Roman"/>
                <w:sz w:val="18"/>
                <w:szCs w:val="18"/>
              </w:rPr>
            </w:pPr>
            <w:r>
              <w:rPr>
                <w:rFonts w:ascii="Calibri" w:hAnsi="Calibri" w:eastAsia="宋体" w:cs="Times New Roman"/>
                <w:sz w:val="18"/>
                <w:szCs w:val="18"/>
              </w:rPr>
              <w:t>Must wash your hands</w:t>
            </w:r>
          </w:p>
        </w:tc>
        <w:tc>
          <w:tcPr>
            <w:tcW w:w="2721"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必须加锁</w:t>
            </w:r>
          </w:p>
          <w:p>
            <w:pPr>
              <w:widowControl/>
              <w:jc w:val="center"/>
              <w:rPr>
                <w:rFonts w:ascii="Calibri" w:hAnsi="Calibri" w:eastAsia="宋体" w:cs="Times New Roman"/>
                <w:sz w:val="18"/>
                <w:szCs w:val="18"/>
              </w:rPr>
            </w:pPr>
            <w:r>
              <w:rPr>
                <w:rFonts w:ascii="Calibri" w:hAnsi="Calibri" w:eastAsia="宋体" w:cs="Times New Roman"/>
                <w:sz w:val="18"/>
                <w:szCs w:val="18"/>
              </w:rPr>
              <w:t>Must be locked</w:t>
            </w:r>
          </w:p>
        </w:tc>
        <w:tc>
          <w:tcPr>
            <w:tcW w:w="2308" w:type="dxa"/>
            <w:vAlign w:val="center"/>
          </w:tcPr>
          <w:p>
            <w:pPr>
              <w:jc w:val="center"/>
              <w:rPr>
                <w:rFonts w:ascii="Calibri" w:hAnsi="Calibri" w:eastAsia="宋体" w:cs="Times New Roman"/>
                <w:sz w:val="18"/>
                <w:szCs w:val="18"/>
              </w:rPr>
            </w:pPr>
            <w:r>
              <w:rPr>
                <w:rFonts w:ascii="Calibri" w:hAnsi="Calibri" w:eastAsia="宋体" w:cs="Times New Roman"/>
                <w:sz w:val="18"/>
                <w:szCs w:val="18"/>
              </w:rPr>
              <w:t>必须接地</w:t>
            </w:r>
          </w:p>
          <w:p>
            <w:pPr>
              <w:widowControl/>
              <w:jc w:val="center"/>
              <w:rPr>
                <w:rFonts w:ascii="Calibri" w:hAnsi="Calibri" w:eastAsia="宋体" w:cs="Times New Roman"/>
                <w:sz w:val="18"/>
                <w:szCs w:val="18"/>
              </w:rPr>
            </w:pPr>
            <w:r>
              <w:rPr>
                <w:rFonts w:ascii="Calibri" w:hAnsi="Calibri" w:eastAsia="宋体" w:cs="Times New Roman"/>
                <w:sz w:val="18"/>
                <w:szCs w:val="18"/>
              </w:rPr>
              <w:t>Must connect an carth terminal to the ground</w:t>
            </w:r>
          </w:p>
        </w:tc>
        <w:tc>
          <w:tcPr>
            <w:tcW w:w="1735" w:type="dxa"/>
            <w:gridSpan w:val="2"/>
            <w:vAlign w:val="center"/>
          </w:tcPr>
          <w:p>
            <w:pPr>
              <w:jc w:val="center"/>
              <w:rPr>
                <w:rFonts w:ascii="Calibri" w:hAnsi="Calibri" w:eastAsia="宋体" w:cs="Times New Roman"/>
                <w:sz w:val="18"/>
                <w:szCs w:val="18"/>
              </w:rPr>
            </w:pPr>
            <w:r>
              <w:rPr>
                <w:rFonts w:ascii="Calibri" w:hAnsi="Calibri" w:eastAsia="宋体" w:cs="Times New Roman"/>
                <w:sz w:val="18"/>
                <w:szCs w:val="18"/>
              </w:rPr>
              <w:t>必须拔出插头</w:t>
            </w:r>
          </w:p>
          <w:p>
            <w:pPr>
              <w:widowControl/>
              <w:jc w:val="center"/>
              <w:rPr>
                <w:rFonts w:ascii="Calibri" w:hAnsi="Calibri" w:eastAsia="宋体" w:cs="Times New Roman"/>
                <w:sz w:val="18"/>
                <w:szCs w:val="18"/>
              </w:rPr>
            </w:pPr>
            <w:r>
              <w:rPr>
                <w:rFonts w:ascii="Calibri" w:hAnsi="Calibri" w:eastAsia="宋体" w:cs="Times New Roman"/>
                <w:sz w:val="18"/>
                <w:szCs w:val="18"/>
              </w:rPr>
              <w:t>Must disconnect mains plug from electrical outlet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308"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1735"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707"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2022"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解除有毒有害物质作业后。</w:t>
            </w:r>
          </w:p>
        </w:tc>
        <w:tc>
          <w:tcPr>
            <w:tcW w:w="2721"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剧毒品、危险品库房等地点。</w:t>
            </w:r>
          </w:p>
        </w:tc>
        <w:tc>
          <w:tcPr>
            <w:tcW w:w="2308"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防雷、防静电场所。</w:t>
            </w:r>
          </w:p>
        </w:tc>
        <w:tc>
          <w:tcPr>
            <w:tcW w:w="1735" w:type="dxa"/>
            <w:gridSpan w:val="2"/>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在设备维修、故障、长期停用、无人值守状态下。</w:t>
            </w:r>
          </w:p>
        </w:tc>
      </w:tr>
    </w:tbl>
    <w:p>
      <w:pPr>
        <w:widowControl/>
        <w:jc w:val="left"/>
        <w:rPr>
          <w:rFonts w:eastAsia="宋体" w:cs="Times New Roman"/>
          <w:sz w:val="18"/>
          <w:szCs w:val="18"/>
        </w:rPr>
      </w:pPr>
    </w:p>
    <w:p>
      <w:pPr>
        <w:pStyle w:val="2"/>
        <w:rPr>
          <w:sz w:val="18"/>
          <w:szCs w:val="18"/>
        </w:rPr>
      </w:pPr>
    </w:p>
    <w:p>
      <w:pPr>
        <w:widowControl/>
        <w:jc w:val="left"/>
        <w:rPr>
          <w:rFonts w:eastAsia="宋体" w:cs="Times New Roman"/>
          <w:sz w:val="24"/>
          <w:szCs w:val="21"/>
        </w:rPr>
      </w:pPr>
      <w:r>
        <w:rPr>
          <w:rFonts w:eastAsia="宋体" w:cs="Times New Roman"/>
          <w:sz w:val="24"/>
          <w:szCs w:val="21"/>
        </w:rPr>
        <w:br w:type="page"/>
      </w:r>
    </w:p>
    <w:p>
      <w:pPr>
        <w:spacing w:after="120"/>
        <w:ind w:firstLine="480" w:firstLineChars="200"/>
        <w:rPr>
          <w:rFonts w:eastAsia="宋体" w:cs="Times New Roman"/>
          <w:sz w:val="24"/>
          <w:szCs w:val="21"/>
        </w:rPr>
      </w:pPr>
      <w:r>
        <w:rPr>
          <w:rFonts w:eastAsia="宋体" w:cs="Times New Roman"/>
          <w:sz w:val="24"/>
          <w:szCs w:val="21"/>
        </w:rPr>
        <w:t>（四）提示标识</w:t>
      </w:r>
    </w:p>
    <w:p>
      <w:pPr>
        <w:pStyle w:val="2"/>
        <w:jc w:val="center"/>
        <w:rPr>
          <w:sz w:val="21"/>
          <w:szCs w:val="21"/>
        </w:rPr>
      </w:pPr>
      <w:r>
        <w:rPr>
          <w:rFonts w:hint="eastAsia"/>
          <w:sz w:val="21"/>
          <w:szCs w:val="21"/>
        </w:rPr>
        <w:t>表1</w:t>
      </w:r>
      <w:r>
        <w:rPr>
          <w:sz w:val="21"/>
          <w:szCs w:val="21"/>
        </w:rPr>
        <w:t>4.6</w:t>
      </w:r>
      <w:r>
        <w:rPr>
          <w:rFonts w:hint="eastAsia"/>
          <w:sz w:val="21"/>
          <w:szCs w:val="21"/>
        </w:rPr>
        <w:t>-</w:t>
      </w:r>
      <w:r>
        <w:rPr>
          <w:sz w:val="21"/>
          <w:szCs w:val="21"/>
        </w:rPr>
        <w:t>4</w:t>
      </w:r>
      <w:r>
        <w:rPr>
          <w:rFonts w:hint="eastAsia"/>
          <w:sz w:val="21"/>
          <w:szCs w:val="21"/>
        </w:rPr>
        <w:t>提示标志示例</w:t>
      </w:r>
    </w:p>
    <w:tbl>
      <w:tblPr>
        <w:tblStyle w:val="38"/>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5"/>
        <w:gridCol w:w="2405"/>
        <w:gridCol w:w="2139"/>
        <w:gridCol w:w="2137"/>
        <w:gridCol w:w="1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240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4－1</w:t>
            </w:r>
          </w:p>
        </w:tc>
        <w:tc>
          <w:tcPr>
            <w:tcW w:w="2139"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4－2</w:t>
            </w:r>
          </w:p>
        </w:tc>
        <w:tc>
          <w:tcPr>
            <w:tcW w:w="2137"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4－3</w:t>
            </w:r>
          </w:p>
        </w:tc>
        <w:tc>
          <w:tcPr>
            <w:tcW w:w="169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9" w:hRule="atLeast"/>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2405"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1005205" cy="1005205"/>
                  <wp:effectExtent l="0" t="0" r="4445" b="4445"/>
                  <wp:docPr id="31002" name="图片 31002" descr="http://www.hbsafety.cn/article/UploadPic/2006-12/20061227119376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2" name="图片 31002" descr="http://www.hbsafety.cn/article/UploadPic/2006-12/2006122711937646.gif"/>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a:xfrm>
                            <a:off x="0" y="0"/>
                            <a:ext cx="1008952" cy="1008952"/>
                          </a:xfrm>
                          <a:prstGeom prst="rect">
                            <a:avLst/>
                          </a:prstGeom>
                          <a:noFill/>
                          <a:ln>
                            <a:noFill/>
                          </a:ln>
                        </pic:spPr>
                      </pic:pic>
                    </a:graphicData>
                  </a:graphic>
                </wp:inline>
              </w:drawing>
            </w:r>
          </w:p>
        </w:tc>
        <w:tc>
          <w:tcPr>
            <w:tcW w:w="2139"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97585" cy="997585"/>
                  <wp:effectExtent l="0" t="0" r="0" b="0"/>
                  <wp:docPr id="31003" name="图片 31003" descr="http://www.hbsafety.cn/article/UploadPic/2006-12/20061227119373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3" name="图片 31003" descr="http://www.hbsafety.cn/article/UploadPic/2006-12/2006122711937374.gif"/>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a:xfrm>
                            <a:off x="0" y="0"/>
                            <a:ext cx="1003989" cy="1003989"/>
                          </a:xfrm>
                          <a:prstGeom prst="rect">
                            <a:avLst/>
                          </a:prstGeom>
                          <a:noFill/>
                          <a:ln>
                            <a:noFill/>
                          </a:ln>
                        </pic:spPr>
                      </pic:pic>
                    </a:graphicData>
                  </a:graphic>
                </wp:inline>
              </w:drawing>
            </w:r>
          </w:p>
        </w:tc>
        <w:tc>
          <w:tcPr>
            <w:tcW w:w="2137"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939165" cy="933450"/>
                  <wp:effectExtent l="0" t="0" r="0" b="0"/>
                  <wp:docPr id="31004" name="图片 31004" descr="应急避难场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4" name="图片 31004" descr="应急避难场所"/>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a:xfrm>
                            <a:off x="0" y="0"/>
                            <a:ext cx="957997" cy="952566"/>
                          </a:xfrm>
                          <a:prstGeom prst="rect">
                            <a:avLst/>
                          </a:prstGeom>
                          <a:noFill/>
                          <a:ln>
                            <a:noFill/>
                          </a:ln>
                        </pic:spPr>
                      </pic:pic>
                    </a:graphicData>
                  </a:graphic>
                </wp:inline>
              </w:drawing>
            </w:r>
          </w:p>
        </w:tc>
        <w:tc>
          <w:tcPr>
            <w:tcW w:w="1695" w:type="dxa"/>
            <w:vAlign w:val="center"/>
          </w:tcPr>
          <w:p>
            <w:pPr>
              <w:widowControl/>
              <w:jc w:val="center"/>
              <w:rPr>
                <w:rFonts w:ascii="Calibri" w:hAnsi="Calibri" w:eastAsia="宋体" w:cs="Times New Roman"/>
                <w:sz w:val="18"/>
                <w:szCs w:val="18"/>
              </w:rPr>
            </w:pPr>
            <w:r>
              <w:rPr>
                <w:rFonts w:ascii="Calibri" w:hAnsi="Calibri" w:eastAsia="宋体" w:cs="Times New Roman"/>
                <w:kern w:val="0"/>
                <w:sz w:val="18"/>
                <w:szCs w:val="18"/>
              </w:rPr>
              <w:drawing>
                <wp:inline distT="0" distB="0" distL="0" distR="0">
                  <wp:extent cx="916305" cy="916305"/>
                  <wp:effectExtent l="0" t="0" r="0" b="0"/>
                  <wp:docPr id="31005" name="图片 31005" descr="http://www.hbsafety.cn/article/UploadPic/2006-12/20061227119375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5" name="图片 31005" descr="http://www.hbsafety.cn/article/UploadPic/2006-12/2006122711937503.gif"/>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a:xfrm>
                            <a:off x="0" y="0"/>
                            <a:ext cx="921636" cy="92163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2405" w:type="dxa"/>
            <w:vAlign w:val="center"/>
          </w:tcPr>
          <w:p>
            <w:pPr>
              <w:jc w:val="center"/>
              <w:rPr>
                <w:rFonts w:ascii="Calibri" w:hAnsi="Calibri" w:eastAsia="宋体" w:cs="Times New Roman"/>
                <w:sz w:val="18"/>
                <w:szCs w:val="18"/>
              </w:rPr>
            </w:pPr>
            <w:r>
              <w:rPr>
                <w:rFonts w:ascii="Calibri" w:hAnsi="Calibri" w:eastAsia="宋体" w:cs="Times New Roman"/>
                <w:sz w:val="18"/>
                <w:szCs w:val="18"/>
              </w:rPr>
              <w:t>紧急出口</w:t>
            </w:r>
          </w:p>
          <w:p>
            <w:pPr>
              <w:widowControl/>
              <w:jc w:val="center"/>
              <w:rPr>
                <w:rFonts w:ascii="Calibri" w:hAnsi="Calibri" w:eastAsia="宋体" w:cs="Times New Roman"/>
                <w:sz w:val="18"/>
                <w:szCs w:val="18"/>
              </w:rPr>
            </w:pPr>
            <w:r>
              <w:rPr>
                <w:rFonts w:ascii="Calibri" w:hAnsi="Calibri" w:eastAsia="宋体" w:cs="Times New Roman"/>
                <w:sz w:val="18"/>
                <w:szCs w:val="18"/>
              </w:rPr>
              <w:t>Emergent exit</w:t>
            </w:r>
          </w:p>
        </w:tc>
        <w:tc>
          <w:tcPr>
            <w:tcW w:w="2139" w:type="dxa"/>
            <w:vAlign w:val="center"/>
          </w:tcPr>
          <w:p>
            <w:pPr>
              <w:jc w:val="center"/>
              <w:rPr>
                <w:rFonts w:ascii="Calibri" w:hAnsi="Calibri" w:eastAsia="宋体" w:cs="Times New Roman"/>
                <w:sz w:val="18"/>
                <w:szCs w:val="18"/>
              </w:rPr>
            </w:pPr>
            <w:r>
              <w:rPr>
                <w:rFonts w:ascii="Calibri" w:hAnsi="Calibri" w:eastAsia="宋体" w:cs="Times New Roman"/>
                <w:sz w:val="18"/>
                <w:szCs w:val="18"/>
              </w:rPr>
              <w:t>避险处</w:t>
            </w:r>
          </w:p>
          <w:p>
            <w:pPr>
              <w:widowControl/>
              <w:jc w:val="center"/>
              <w:rPr>
                <w:rFonts w:ascii="Calibri" w:hAnsi="Calibri" w:eastAsia="宋体" w:cs="Times New Roman"/>
                <w:sz w:val="18"/>
                <w:szCs w:val="18"/>
              </w:rPr>
            </w:pPr>
            <w:r>
              <w:rPr>
                <w:rFonts w:ascii="Calibri" w:hAnsi="Calibri" w:eastAsia="宋体" w:cs="Times New Roman"/>
                <w:sz w:val="18"/>
                <w:szCs w:val="18"/>
              </w:rPr>
              <w:t>haven</w:t>
            </w:r>
          </w:p>
        </w:tc>
        <w:tc>
          <w:tcPr>
            <w:tcW w:w="2137" w:type="dxa"/>
            <w:vAlign w:val="center"/>
          </w:tcPr>
          <w:p>
            <w:pPr>
              <w:jc w:val="center"/>
              <w:rPr>
                <w:rFonts w:ascii="Calibri" w:hAnsi="Calibri" w:eastAsia="宋体" w:cs="Times New Roman"/>
                <w:sz w:val="18"/>
                <w:szCs w:val="18"/>
              </w:rPr>
            </w:pPr>
            <w:r>
              <w:rPr>
                <w:rFonts w:ascii="Calibri" w:hAnsi="Calibri" w:eastAsia="宋体" w:cs="Times New Roman"/>
                <w:sz w:val="18"/>
                <w:szCs w:val="18"/>
              </w:rPr>
              <w:t>应急避难场所</w:t>
            </w:r>
          </w:p>
          <w:p>
            <w:pPr>
              <w:widowControl/>
              <w:jc w:val="center"/>
              <w:rPr>
                <w:rFonts w:ascii="Calibri" w:hAnsi="Calibri" w:eastAsia="宋体" w:cs="Times New Roman"/>
                <w:sz w:val="18"/>
                <w:szCs w:val="18"/>
              </w:rPr>
            </w:pPr>
            <w:r>
              <w:rPr>
                <w:rFonts w:ascii="Calibri" w:hAnsi="Calibri" w:eastAsia="宋体" w:cs="Times New Roman"/>
                <w:sz w:val="18"/>
                <w:szCs w:val="18"/>
              </w:rPr>
              <w:t>Evacuation assembly point</w:t>
            </w:r>
          </w:p>
        </w:tc>
        <w:tc>
          <w:tcPr>
            <w:tcW w:w="169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可动火区</w:t>
            </w:r>
          </w:p>
          <w:p>
            <w:pPr>
              <w:widowControl/>
              <w:jc w:val="center"/>
              <w:rPr>
                <w:rFonts w:ascii="Calibri" w:hAnsi="Calibri" w:eastAsia="宋体" w:cs="Times New Roman"/>
                <w:sz w:val="18"/>
                <w:szCs w:val="18"/>
              </w:rPr>
            </w:pPr>
            <w:r>
              <w:rPr>
                <w:rFonts w:ascii="Calibri" w:hAnsi="Calibri" w:eastAsia="宋体" w:cs="Times New Roman"/>
                <w:sz w:val="18"/>
                <w:szCs w:val="18"/>
              </w:rPr>
              <w:t>Flare up region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240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39"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37"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H</w:t>
            </w:r>
          </w:p>
        </w:tc>
        <w:tc>
          <w:tcPr>
            <w:tcW w:w="169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0" w:hRule="atLeast"/>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240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便于安全疏散的紧急出口处，与方向箭头结合设在通向紧急出口的通道、楼梯口等处。</w:t>
            </w:r>
          </w:p>
        </w:tc>
        <w:tc>
          <w:tcPr>
            <w:tcW w:w="2139"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铁路桥、公路桥、矿井及隧道内躲避危险的地点。</w:t>
            </w:r>
          </w:p>
        </w:tc>
        <w:tc>
          <w:tcPr>
            <w:tcW w:w="2137"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在发生突发时间时用于容纳危险区域内疏散人员的场所，如公园、广场等。</w:t>
            </w:r>
          </w:p>
        </w:tc>
        <w:tc>
          <w:tcPr>
            <w:tcW w:w="169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经有关部门划定的可使用明火的地点。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编号</w:t>
            </w:r>
          </w:p>
        </w:tc>
        <w:tc>
          <w:tcPr>
            <w:tcW w:w="240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4－5</w:t>
            </w:r>
          </w:p>
        </w:tc>
        <w:tc>
          <w:tcPr>
            <w:tcW w:w="2139"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4－6</w:t>
            </w:r>
          </w:p>
        </w:tc>
        <w:tc>
          <w:tcPr>
            <w:tcW w:w="2137"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4－7</w:t>
            </w:r>
          </w:p>
        </w:tc>
        <w:tc>
          <w:tcPr>
            <w:tcW w:w="169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9" w:hRule="atLeast"/>
          <w:jc w:val="center"/>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图形标识</w:t>
            </w:r>
          </w:p>
        </w:tc>
        <w:tc>
          <w:tcPr>
            <w:tcW w:w="240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896620" cy="902335"/>
                  <wp:effectExtent l="0" t="0" r="0" b="0"/>
                  <wp:docPr id="31006" name="图片 310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6" name="图片 31006" descr="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a:xfrm>
                            <a:off x="0" y="0"/>
                            <a:ext cx="915214" cy="920691"/>
                          </a:xfrm>
                          <a:prstGeom prst="rect">
                            <a:avLst/>
                          </a:prstGeom>
                          <a:noFill/>
                          <a:ln>
                            <a:noFill/>
                          </a:ln>
                        </pic:spPr>
                      </pic:pic>
                    </a:graphicData>
                  </a:graphic>
                </wp:inline>
              </w:drawing>
            </w:r>
          </w:p>
        </w:tc>
        <w:tc>
          <w:tcPr>
            <w:tcW w:w="2139"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858520" cy="858520"/>
                  <wp:effectExtent l="0" t="0" r="0" b="0"/>
                  <wp:docPr id="31007" name="图片 31007" descr="急救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7" name="图片 31007" descr="急救点"/>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a:xfrm>
                            <a:off x="0" y="0"/>
                            <a:ext cx="868985" cy="868985"/>
                          </a:xfrm>
                          <a:prstGeom prst="rect">
                            <a:avLst/>
                          </a:prstGeom>
                          <a:noFill/>
                          <a:ln>
                            <a:noFill/>
                          </a:ln>
                        </pic:spPr>
                      </pic:pic>
                    </a:graphicData>
                  </a:graphic>
                </wp:inline>
              </w:drawing>
            </w:r>
          </w:p>
        </w:tc>
        <w:tc>
          <w:tcPr>
            <w:tcW w:w="2137"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843915" cy="848995"/>
                  <wp:effectExtent l="0" t="0" r="0" b="8255"/>
                  <wp:docPr id="31008" name="图片 31008" descr="急救电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8" name="图片 31008" descr="急救电话"/>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a:xfrm>
                            <a:off x="0" y="0"/>
                            <a:ext cx="860011" cy="865157"/>
                          </a:xfrm>
                          <a:prstGeom prst="rect">
                            <a:avLst/>
                          </a:prstGeom>
                          <a:noFill/>
                          <a:ln>
                            <a:noFill/>
                          </a:ln>
                        </pic:spPr>
                      </pic:pic>
                    </a:graphicData>
                  </a:graphic>
                </wp:inline>
              </w:drawing>
            </w:r>
          </w:p>
        </w:tc>
        <w:tc>
          <w:tcPr>
            <w:tcW w:w="169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drawing>
                <wp:inline distT="0" distB="0" distL="0" distR="0">
                  <wp:extent cx="864870" cy="875030"/>
                  <wp:effectExtent l="0" t="0" r="0" b="1270"/>
                  <wp:docPr id="31009" name="图片 31009" descr="紧急医疗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9" name="图片 31009" descr="紧急医疗站"/>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a:xfrm>
                            <a:off x="0" y="0"/>
                            <a:ext cx="888808" cy="8991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名称</w:t>
            </w:r>
          </w:p>
        </w:tc>
        <w:tc>
          <w:tcPr>
            <w:tcW w:w="2405" w:type="dxa"/>
            <w:vAlign w:val="center"/>
          </w:tcPr>
          <w:p>
            <w:pPr>
              <w:jc w:val="center"/>
              <w:rPr>
                <w:rFonts w:ascii="Calibri" w:hAnsi="Calibri" w:eastAsia="宋体" w:cs="Times New Roman"/>
                <w:sz w:val="18"/>
                <w:szCs w:val="18"/>
              </w:rPr>
            </w:pPr>
            <w:r>
              <w:rPr>
                <w:rFonts w:ascii="Calibri" w:hAnsi="Calibri" w:eastAsia="宋体" w:cs="Times New Roman"/>
                <w:sz w:val="18"/>
                <w:szCs w:val="18"/>
              </w:rPr>
              <w:t>击碎板面</w:t>
            </w:r>
          </w:p>
          <w:p>
            <w:pPr>
              <w:widowControl/>
              <w:jc w:val="center"/>
              <w:rPr>
                <w:rFonts w:ascii="Calibri" w:hAnsi="Calibri" w:eastAsia="宋体" w:cs="Times New Roman"/>
                <w:sz w:val="18"/>
                <w:szCs w:val="18"/>
              </w:rPr>
            </w:pPr>
            <w:r>
              <w:rPr>
                <w:rFonts w:ascii="Calibri" w:hAnsi="Calibri" w:eastAsia="宋体" w:cs="Times New Roman"/>
                <w:sz w:val="18"/>
                <w:szCs w:val="18"/>
              </w:rPr>
              <w:t>Break to obtain access</w:t>
            </w:r>
          </w:p>
        </w:tc>
        <w:tc>
          <w:tcPr>
            <w:tcW w:w="2139" w:type="dxa"/>
            <w:vAlign w:val="center"/>
          </w:tcPr>
          <w:p>
            <w:pPr>
              <w:jc w:val="center"/>
              <w:rPr>
                <w:rFonts w:ascii="Calibri" w:hAnsi="Calibri" w:eastAsia="宋体" w:cs="Times New Roman"/>
                <w:sz w:val="18"/>
                <w:szCs w:val="18"/>
              </w:rPr>
            </w:pPr>
            <w:r>
              <w:rPr>
                <w:rFonts w:ascii="Calibri" w:hAnsi="Calibri" w:eastAsia="宋体" w:cs="Times New Roman"/>
                <w:sz w:val="18"/>
                <w:szCs w:val="18"/>
              </w:rPr>
              <w:t>急救点</w:t>
            </w:r>
          </w:p>
          <w:p>
            <w:pPr>
              <w:widowControl/>
              <w:jc w:val="center"/>
              <w:rPr>
                <w:rFonts w:ascii="Calibri" w:hAnsi="Calibri" w:eastAsia="宋体" w:cs="Times New Roman"/>
                <w:sz w:val="18"/>
                <w:szCs w:val="18"/>
              </w:rPr>
            </w:pPr>
            <w:r>
              <w:rPr>
                <w:rFonts w:ascii="Calibri" w:hAnsi="Calibri" w:eastAsia="宋体" w:cs="Times New Roman"/>
                <w:sz w:val="18"/>
                <w:szCs w:val="18"/>
              </w:rPr>
              <w:t>First aid</w:t>
            </w:r>
          </w:p>
        </w:tc>
        <w:tc>
          <w:tcPr>
            <w:tcW w:w="2137" w:type="dxa"/>
            <w:vAlign w:val="center"/>
          </w:tcPr>
          <w:p>
            <w:pPr>
              <w:jc w:val="center"/>
              <w:rPr>
                <w:rFonts w:ascii="Calibri" w:hAnsi="Calibri" w:eastAsia="宋体" w:cs="Times New Roman"/>
                <w:sz w:val="18"/>
                <w:szCs w:val="18"/>
              </w:rPr>
            </w:pPr>
            <w:r>
              <w:rPr>
                <w:rFonts w:ascii="Calibri" w:hAnsi="Calibri" w:eastAsia="宋体" w:cs="Times New Roman"/>
                <w:sz w:val="18"/>
                <w:szCs w:val="18"/>
              </w:rPr>
              <w:t>应急电话</w:t>
            </w:r>
          </w:p>
          <w:p>
            <w:pPr>
              <w:widowControl/>
              <w:jc w:val="center"/>
              <w:rPr>
                <w:rFonts w:ascii="Calibri" w:hAnsi="Calibri" w:eastAsia="宋体" w:cs="Times New Roman"/>
                <w:sz w:val="18"/>
                <w:szCs w:val="18"/>
              </w:rPr>
            </w:pPr>
            <w:r>
              <w:rPr>
                <w:rFonts w:ascii="Calibri" w:hAnsi="Calibri" w:eastAsia="宋体" w:cs="Times New Roman"/>
                <w:sz w:val="18"/>
                <w:szCs w:val="18"/>
              </w:rPr>
              <w:t>Emergency telephone</w:t>
            </w:r>
          </w:p>
        </w:tc>
        <w:tc>
          <w:tcPr>
            <w:tcW w:w="1695" w:type="dxa"/>
            <w:vAlign w:val="center"/>
          </w:tcPr>
          <w:p>
            <w:pPr>
              <w:jc w:val="center"/>
              <w:rPr>
                <w:rFonts w:ascii="Calibri" w:hAnsi="Calibri" w:eastAsia="宋体" w:cs="Times New Roman"/>
                <w:sz w:val="18"/>
                <w:szCs w:val="18"/>
              </w:rPr>
            </w:pPr>
            <w:r>
              <w:rPr>
                <w:rFonts w:ascii="Calibri" w:hAnsi="Calibri" w:eastAsia="宋体" w:cs="Times New Roman"/>
                <w:sz w:val="18"/>
                <w:szCs w:val="18"/>
              </w:rPr>
              <w:t>紧急医疗站</w:t>
            </w:r>
          </w:p>
          <w:p>
            <w:pPr>
              <w:widowControl/>
              <w:jc w:val="center"/>
              <w:rPr>
                <w:rFonts w:ascii="Calibri" w:hAnsi="Calibri" w:eastAsia="宋体" w:cs="Times New Roman"/>
                <w:sz w:val="18"/>
                <w:szCs w:val="18"/>
              </w:rPr>
            </w:pPr>
            <w:r>
              <w:rPr>
                <w:rFonts w:ascii="Calibri" w:hAnsi="Calibri" w:eastAsia="宋体" w:cs="Times New Roman"/>
                <w:sz w:val="18"/>
                <w:szCs w:val="18"/>
              </w:rPr>
              <w:t>Doctor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标志种类</w:t>
            </w:r>
          </w:p>
        </w:tc>
        <w:tc>
          <w:tcPr>
            <w:tcW w:w="240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39"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2137"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c>
          <w:tcPr>
            <w:tcW w:w="169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9" w:hRule="atLeast"/>
          <w:jc w:val="center"/>
        </w:trPr>
        <w:tc>
          <w:tcPr>
            <w:tcW w:w="975" w:type="dxa"/>
            <w:vAlign w:val="center"/>
          </w:tcPr>
          <w:p>
            <w:pPr>
              <w:widowControl/>
              <w:jc w:val="center"/>
              <w:rPr>
                <w:rFonts w:ascii="Calibri" w:hAnsi="Calibri" w:eastAsia="宋体" w:cs="Times New Roman"/>
                <w:b/>
                <w:sz w:val="18"/>
                <w:szCs w:val="18"/>
              </w:rPr>
            </w:pPr>
            <w:r>
              <w:rPr>
                <w:rFonts w:ascii="Calibri" w:hAnsi="Calibri" w:eastAsia="宋体" w:cs="Times New Roman"/>
                <w:b/>
                <w:sz w:val="18"/>
                <w:szCs w:val="18"/>
              </w:rPr>
              <w:t>设置范围和地点</w:t>
            </w:r>
          </w:p>
        </w:tc>
        <w:tc>
          <w:tcPr>
            <w:tcW w:w="240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必须击开板面才能获得出口。</w:t>
            </w:r>
          </w:p>
        </w:tc>
        <w:tc>
          <w:tcPr>
            <w:tcW w:w="2139"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设置现场急救仪器设备及药品的地点。</w:t>
            </w:r>
          </w:p>
        </w:tc>
        <w:tc>
          <w:tcPr>
            <w:tcW w:w="2137"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安装应急电话的地点。</w:t>
            </w:r>
          </w:p>
        </w:tc>
        <w:tc>
          <w:tcPr>
            <w:tcW w:w="1695" w:type="dxa"/>
            <w:vAlign w:val="center"/>
          </w:tcPr>
          <w:p>
            <w:pPr>
              <w:widowControl/>
              <w:jc w:val="center"/>
              <w:rPr>
                <w:rFonts w:ascii="Calibri" w:hAnsi="Calibri" w:eastAsia="宋体" w:cs="Times New Roman"/>
                <w:sz w:val="18"/>
                <w:szCs w:val="18"/>
              </w:rPr>
            </w:pPr>
            <w:r>
              <w:rPr>
                <w:rFonts w:ascii="Calibri" w:hAnsi="Calibri" w:eastAsia="宋体" w:cs="Times New Roman"/>
                <w:sz w:val="18"/>
                <w:szCs w:val="18"/>
              </w:rPr>
              <w:t>有医生的医疗救助场所。</w:t>
            </w:r>
          </w:p>
        </w:tc>
      </w:tr>
    </w:tbl>
    <w:p>
      <w:pPr>
        <w:adjustRightInd w:val="0"/>
        <w:snapToGrid w:val="0"/>
        <w:spacing w:line="360" w:lineRule="auto"/>
        <w:contextualSpacing/>
        <w:jc w:val="left"/>
        <w:rPr>
          <w:rFonts w:eastAsia="宋体" w:cs="Times New Roman"/>
          <w:sz w:val="24"/>
        </w:rPr>
      </w:pPr>
    </w:p>
    <w:sectPr>
      <w:pgSz w:w="11906" w:h="8391" w:orient="landscape"/>
      <w:pgMar w:top="1134" w:right="1077" w:bottom="1134" w:left="1418" w:header="851" w:footer="992" w:gutter="0"/>
      <w:cols w:space="0" w:num="1"/>
      <w:docGrid w:linePitch="449" w:charSpace="1547"/>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小标宋_GBK">
    <w:panose1 w:val="02000000000000000000"/>
    <w:charset w:val="86"/>
    <w:family w:val="auto"/>
    <w:pitch w:val="default"/>
    <w:sig w:usb0="A00002BF" w:usb1="38CF7CFA" w:usb2="00082016" w:usb3="00000000" w:csb0="00040001"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center" w:pos="4705"/>
        <w:tab w:val="clear" w:pos="4153"/>
        <w:tab w:val="clear" w:pos="8306"/>
      </w:tabs>
    </w:pP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AB3AD30"/>
    <w:multiLevelType w:val="singleLevel"/>
    <w:tmpl w:val="DAB3AD30"/>
    <w:lvl w:ilvl="0" w:tentative="0">
      <w:start w:val="3"/>
      <w:numFmt w:val="chineseCounting"/>
      <w:suff w:val="nothing"/>
      <w:lvlText w:val="（%1）"/>
      <w:lvlJc w:val="left"/>
      <w:rPr>
        <w:rFonts w:hint="eastAsia"/>
      </w:rPr>
    </w:lvl>
  </w:abstractNum>
  <w:abstractNum w:abstractNumId="1">
    <w:nsid w:val="E6BF96F0"/>
    <w:multiLevelType w:val="singleLevel"/>
    <w:tmpl w:val="E6BF96F0"/>
    <w:lvl w:ilvl="0" w:tentative="0">
      <w:start w:val="2"/>
      <w:numFmt w:val="chineseCounting"/>
      <w:suff w:val="nothing"/>
      <w:lvlText w:val="（%1）"/>
      <w:lvlJc w:val="left"/>
      <w:rPr>
        <w:rFonts w:hint="eastAsia"/>
      </w:rPr>
    </w:lvl>
  </w:abstractNum>
  <w:abstractNum w:abstractNumId="2">
    <w:nsid w:val="E86430BD"/>
    <w:multiLevelType w:val="singleLevel"/>
    <w:tmpl w:val="E86430BD"/>
    <w:lvl w:ilvl="0" w:tentative="0">
      <w:start w:val="2"/>
      <w:numFmt w:val="chineseCounting"/>
      <w:suff w:val="nothing"/>
      <w:lvlText w:val="（%1）"/>
      <w:lvlJc w:val="left"/>
      <w:rPr>
        <w:rFonts w:hint="eastAsia"/>
      </w:rPr>
    </w:lvl>
  </w:abstractNum>
  <w:abstractNum w:abstractNumId="3">
    <w:nsid w:val="08943D79"/>
    <w:multiLevelType w:val="multilevel"/>
    <w:tmpl w:val="08943D79"/>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AB91885"/>
    <w:multiLevelType w:val="multilevel"/>
    <w:tmpl w:val="0AB91885"/>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0C9DF472"/>
    <w:multiLevelType w:val="singleLevel"/>
    <w:tmpl w:val="0C9DF472"/>
    <w:lvl w:ilvl="0" w:tentative="0">
      <w:start w:val="2"/>
      <w:numFmt w:val="chineseCounting"/>
      <w:suff w:val="nothing"/>
      <w:lvlText w:val="（%1）"/>
      <w:lvlJc w:val="left"/>
      <w:rPr>
        <w:rFonts w:hint="eastAsia"/>
      </w:rPr>
    </w:lvl>
  </w:abstractNum>
  <w:abstractNum w:abstractNumId="6">
    <w:nsid w:val="16E461E5"/>
    <w:multiLevelType w:val="multilevel"/>
    <w:tmpl w:val="16E461E5"/>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2"/>
  </w:num>
  <w:num w:numId="3">
    <w:abstractNumId w:val="4"/>
  </w:num>
  <w:num w:numId="4">
    <w:abstractNumId w:val="0"/>
  </w:num>
  <w:num w:numId="5">
    <w:abstractNumId w:val="5"/>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hideSpellingErrors/>
  <w:documentProtection w:enforcement="0"/>
  <w:defaultTabStop w:val="420"/>
  <w:evenAndOddHeaders w:val="1"/>
  <w:drawingGridHorizontalSpacing w:val="164"/>
  <w:drawingGridVerticalSpacing w:val="449"/>
  <w:displayHorizont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8984972"/>
    <w:rsid w:val="000009A7"/>
    <w:rsid w:val="00020301"/>
    <w:rsid w:val="00083DA9"/>
    <w:rsid w:val="000B0C1E"/>
    <w:rsid w:val="000C1BE9"/>
    <w:rsid w:val="000E264C"/>
    <w:rsid w:val="000E69AC"/>
    <w:rsid w:val="00100EDA"/>
    <w:rsid w:val="00117224"/>
    <w:rsid w:val="0012736A"/>
    <w:rsid w:val="00130E40"/>
    <w:rsid w:val="001374AB"/>
    <w:rsid w:val="001472BA"/>
    <w:rsid w:val="0015427D"/>
    <w:rsid w:val="001619AF"/>
    <w:rsid w:val="001843A6"/>
    <w:rsid w:val="00187CE5"/>
    <w:rsid w:val="001F12D5"/>
    <w:rsid w:val="001F4BC4"/>
    <w:rsid w:val="002366A2"/>
    <w:rsid w:val="002443F0"/>
    <w:rsid w:val="00274629"/>
    <w:rsid w:val="0028185B"/>
    <w:rsid w:val="002B51A6"/>
    <w:rsid w:val="002C1F6B"/>
    <w:rsid w:val="002D6E1C"/>
    <w:rsid w:val="002E48B6"/>
    <w:rsid w:val="002E6BA7"/>
    <w:rsid w:val="002E7BF3"/>
    <w:rsid w:val="00303B08"/>
    <w:rsid w:val="003105E9"/>
    <w:rsid w:val="00313ED0"/>
    <w:rsid w:val="00346B0D"/>
    <w:rsid w:val="00350BC6"/>
    <w:rsid w:val="00363230"/>
    <w:rsid w:val="00371091"/>
    <w:rsid w:val="0039123D"/>
    <w:rsid w:val="003C0347"/>
    <w:rsid w:val="003F72A9"/>
    <w:rsid w:val="00400329"/>
    <w:rsid w:val="004038AF"/>
    <w:rsid w:val="00422F21"/>
    <w:rsid w:val="00433386"/>
    <w:rsid w:val="00434A93"/>
    <w:rsid w:val="00444C8A"/>
    <w:rsid w:val="00451C86"/>
    <w:rsid w:val="00474A91"/>
    <w:rsid w:val="004C22B4"/>
    <w:rsid w:val="004E2967"/>
    <w:rsid w:val="004F3E46"/>
    <w:rsid w:val="004F400B"/>
    <w:rsid w:val="00511D35"/>
    <w:rsid w:val="00513F82"/>
    <w:rsid w:val="0055082F"/>
    <w:rsid w:val="005508E5"/>
    <w:rsid w:val="00566EBB"/>
    <w:rsid w:val="00580971"/>
    <w:rsid w:val="00584A8A"/>
    <w:rsid w:val="005A3C00"/>
    <w:rsid w:val="005B7C84"/>
    <w:rsid w:val="00615325"/>
    <w:rsid w:val="00627220"/>
    <w:rsid w:val="00633C15"/>
    <w:rsid w:val="00686F58"/>
    <w:rsid w:val="006A1711"/>
    <w:rsid w:val="006D4AA8"/>
    <w:rsid w:val="006D6B58"/>
    <w:rsid w:val="006E018C"/>
    <w:rsid w:val="00776581"/>
    <w:rsid w:val="00785F3F"/>
    <w:rsid w:val="00786667"/>
    <w:rsid w:val="00792A96"/>
    <w:rsid w:val="007A2E8E"/>
    <w:rsid w:val="007B4C4F"/>
    <w:rsid w:val="00856C09"/>
    <w:rsid w:val="0088263D"/>
    <w:rsid w:val="00883A1B"/>
    <w:rsid w:val="00886027"/>
    <w:rsid w:val="008A212D"/>
    <w:rsid w:val="008C2361"/>
    <w:rsid w:val="008F64F7"/>
    <w:rsid w:val="0091393B"/>
    <w:rsid w:val="00914DED"/>
    <w:rsid w:val="009362FB"/>
    <w:rsid w:val="00936D81"/>
    <w:rsid w:val="009501CE"/>
    <w:rsid w:val="00997E38"/>
    <w:rsid w:val="009A4ACF"/>
    <w:rsid w:val="009E354C"/>
    <w:rsid w:val="009F1536"/>
    <w:rsid w:val="00A05156"/>
    <w:rsid w:val="00A52DFD"/>
    <w:rsid w:val="00A612FD"/>
    <w:rsid w:val="00AA7B97"/>
    <w:rsid w:val="00AC016B"/>
    <w:rsid w:val="00AD4EA0"/>
    <w:rsid w:val="00B5578E"/>
    <w:rsid w:val="00B5586C"/>
    <w:rsid w:val="00B60E19"/>
    <w:rsid w:val="00B759B4"/>
    <w:rsid w:val="00BA5680"/>
    <w:rsid w:val="00BC2FCF"/>
    <w:rsid w:val="00BC643F"/>
    <w:rsid w:val="00C5246A"/>
    <w:rsid w:val="00C97147"/>
    <w:rsid w:val="00C97770"/>
    <w:rsid w:val="00CE07F7"/>
    <w:rsid w:val="00D208DF"/>
    <w:rsid w:val="00D61F0A"/>
    <w:rsid w:val="00D71265"/>
    <w:rsid w:val="00DA0EEA"/>
    <w:rsid w:val="00DB1124"/>
    <w:rsid w:val="00DC0DB0"/>
    <w:rsid w:val="00DC42E1"/>
    <w:rsid w:val="00DE3F81"/>
    <w:rsid w:val="00E0399B"/>
    <w:rsid w:val="00E10CD8"/>
    <w:rsid w:val="00E226B4"/>
    <w:rsid w:val="00E50E2F"/>
    <w:rsid w:val="00E571A0"/>
    <w:rsid w:val="00E660E2"/>
    <w:rsid w:val="00E8018A"/>
    <w:rsid w:val="00EA7CFD"/>
    <w:rsid w:val="00EF5106"/>
    <w:rsid w:val="00F07C27"/>
    <w:rsid w:val="00F313FB"/>
    <w:rsid w:val="00F36587"/>
    <w:rsid w:val="00F426BA"/>
    <w:rsid w:val="00F53FB9"/>
    <w:rsid w:val="00F5778D"/>
    <w:rsid w:val="00F83855"/>
    <w:rsid w:val="00F91E9C"/>
    <w:rsid w:val="00F95AE3"/>
    <w:rsid w:val="00F97099"/>
    <w:rsid w:val="00FD0710"/>
    <w:rsid w:val="00FD6A84"/>
    <w:rsid w:val="031341D4"/>
    <w:rsid w:val="07D81FBB"/>
    <w:rsid w:val="1083547E"/>
    <w:rsid w:val="16655435"/>
    <w:rsid w:val="1792669D"/>
    <w:rsid w:val="1BFE1EBC"/>
    <w:rsid w:val="1F86092C"/>
    <w:rsid w:val="24171B44"/>
    <w:rsid w:val="242A22B7"/>
    <w:rsid w:val="27CD01E4"/>
    <w:rsid w:val="313E53A5"/>
    <w:rsid w:val="31693C50"/>
    <w:rsid w:val="32757835"/>
    <w:rsid w:val="32C75788"/>
    <w:rsid w:val="366F769B"/>
    <w:rsid w:val="37726D3B"/>
    <w:rsid w:val="38023574"/>
    <w:rsid w:val="40C00BCF"/>
    <w:rsid w:val="47CC1F7C"/>
    <w:rsid w:val="48357AAF"/>
    <w:rsid w:val="48984972"/>
    <w:rsid w:val="4E894B9E"/>
    <w:rsid w:val="4E9B6DCE"/>
    <w:rsid w:val="4F501DE0"/>
    <w:rsid w:val="4FD105C8"/>
    <w:rsid w:val="51552685"/>
    <w:rsid w:val="519C6700"/>
    <w:rsid w:val="54BB1384"/>
    <w:rsid w:val="578876B3"/>
    <w:rsid w:val="5E924F93"/>
    <w:rsid w:val="610E06F2"/>
    <w:rsid w:val="73B178B9"/>
    <w:rsid w:val="74366DF1"/>
    <w:rsid w:val="747721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iPriority="39" w:semiHidden="0" w:name="toc 2"/>
    <w:lsdException w:qFormat="1"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iPriority="99" w:semiHidden="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 w:cstheme="minorBidi"/>
      <w:kern w:val="2"/>
      <w:sz w:val="32"/>
      <w:szCs w:val="24"/>
      <w:lang w:val="en-US" w:eastAsia="zh-CN" w:bidi="ar-SA"/>
    </w:rPr>
  </w:style>
  <w:style w:type="paragraph" w:styleId="3">
    <w:name w:val="heading 1"/>
    <w:basedOn w:val="1"/>
    <w:next w:val="1"/>
    <w:link w:val="27"/>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26"/>
    <w:unhideWhenUsed/>
    <w:qFormat/>
    <w:uiPriority w:val="9"/>
    <w:pPr>
      <w:keepNext/>
      <w:keepLines/>
      <w:spacing w:before="260" w:after="260" w:line="416" w:lineRule="auto"/>
      <w:outlineLvl w:val="1"/>
    </w:pPr>
    <w:rPr>
      <w:rFonts w:asciiTheme="majorHAnsi" w:hAnsiTheme="majorHAnsi" w:eastAsiaTheme="majorEastAsia" w:cstheme="majorBidi"/>
      <w:b/>
      <w:bCs/>
      <w:szCs w:val="32"/>
    </w:rPr>
  </w:style>
  <w:style w:type="paragraph" w:styleId="5">
    <w:name w:val="heading 3"/>
    <w:basedOn w:val="1"/>
    <w:next w:val="1"/>
    <w:link w:val="39"/>
    <w:unhideWhenUsed/>
    <w:qFormat/>
    <w:uiPriority w:val="9"/>
    <w:pPr>
      <w:keepNext/>
      <w:keepLines/>
      <w:spacing w:beforeLines="50" w:afterLines="50"/>
      <w:outlineLvl w:val="2"/>
    </w:pPr>
    <w:rPr>
      <w:rFonts w:eastAsia="宋体" w:cs="Times New Roman"/>
      <w:b/>
      <w:bCs/>
      <w:sz w:val="28"/>
      <w:szCs w:val="32"/>
    </w:rPr>
  </w:style>
  <w:style w:type="paragraph" w:styleId="6">
    <w:name w:val="heading 4"/>
    <w:basedOn w:val="1"/>
    <w:next w:val="1"/>
    <w:link w:val="29"/>
    <w:semiHidden/>
    <w:unhideWhenUsed/>
    <w:qFormat/>
    <w:uiPriority w:val="9"/>
    <w:pPr>
      <w:keepNext/>
      <w:keepLines/>
      <w:spacing w:before="280" w:after="290" w:line="376" w:lineRule="auto"/>
      <w:outlineLvl w:val="3"/>
    </w:pPr>
    <w:rPr>
      <w:rFonts w:ascii="Cambria" w:hAnsi="Cambria" w:eastAsia="宋体" w:cs="Times New Roman"/>
      <w:b/>
      <w:bCs/>
      <w:kern w:val="0"/>
      <w:sz w:val="28"/>
      <w:szCs w:val="28"/>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45"/>
    <w:unhideWhenUsed/>
    <w:qFormat/>
    <w:uiPriority w:val="99"/>
    <w:pPr>
      <w:spacing w:after="120"/>
    </w:pPr>
    <w:rPr>
      <w:rFonts w:eastAsia="宋体" w:cs="Times New Roman"/>
      <w:sz w:val="28"/>
      <w:szCs w:val="20"/>
    </w:rPr>
  </w:style>
  <w:style w:type="paragraph" w:styleId="7">
    <w:name w:val="annotation text"/>
    <w:basedOn w:val="1"/>
    <w:link w:val="42"/>
    <w:unhideWhenUsed/>
    <w:qFormat/>
    <w:uiPriority w:val="99"/>
    <w:pPr>
      <w:jc w:val="left"/>
    </w:pPr>
    <w:rPr>
      <w:rFonts w:eastAsia="宋体"/>
      <w:sz w:val="21"/>
      <w:szCs w:val="22"/>
    </w:rPr>
  </w:style>
  <w:style w:type="paragraph" w:styleId="8">
    <w:name w:val="toc 3"/>
    <w:basedOn w:val="1"/>
    <w:next w:val="1"/>
    <w:unhideWhenUsed/>
    <w:qFormat/>
    <w:uiPriority w:val="39"/>
    <w:pPr>
      <w:ind w:left="840" w:leftChars="400"/>
    </w:pPr>
    <w:rPr>
      <w:rFonts w:eastAsia="宋体" w:cs="Times New Roman"/>
      <w:sz w:val="28"/>
      <w:szCs w:val="20"/>
    </w:rPr>
  </w:style>
  <w:style w:type="paragraph" w:styleId="9">
    <w:name w:val="Balloon Text"/>
    <w:basedOn w:val="1"/>
    <w:link w:val="28"/>
    <w:qFormat/>
    <w:uiPriority w:val="99"/>
    <w:rPr>
      <w:sz w:val="18"/>
      <w:szCs w:val="18"/>
    </w:rPr>
  </w:style>
  <w:style w:type="paragraph" w:styleId="10">
    <w:name w:val="footer"/>
    <w:basedOn w:val="1"/>
    <w:link w:val="23"/>
    <w:qFormat/>
    <w:uiPriority w:val="99"/>
    <w:pPr>
      <w:tabs>
        <w:tab w:val="center" w:pos="4153"/>
        <w:tab w:val="right" w:pos="8306"/>
      </w:tabs>
      <w:snapToGrid w:val="0"/>
      <w:jc w:val="left"/>
    </w:pPr>
    <w:rPr>
      <w:sz w:val="18"/>
    </w:rPr>
  </w:style>
  <w:style w:type="paragraph" w:styleId="11">
    <w:name w:val="header"/>
    <w:basedOn w:val="1"/>
    <w:link w:val="36"/>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toc 1"/>
    <w:basedOn w:val="1"/>
    <w:next w:val="1"/>
    <w:qFormat/>
    <w:uiPriority w:val="39"/>
  </w:style>
  <w:style w:type="paragraph" w:styleId="13">
    <w:name w:val="toc 2"/>
    <w:basedOn w:val="1"/>
    <w:next w:val="1"/>
    <w:unhideWhenUsed/>
    <w:qFormat/>
    <w:uiPriority w:val="39"/>
    <w:pPr>
      <w:ind w:left="420" w:leftChars="200"/>
    </w:pPr>
    <w:rPr>
      <w:rFonts w:eastAsia="宋体" w:cs="Times New Roman"/>
      <w:sz w:val="28"/>
      <w:szCs w:val="20"/>
    </w:rPr>
  </w:style>
  <w:style w:type="paragraph" w:styleId="14">
    <w:name w:val="Normal (Web)"/>
    <w:basedOn w:val="1"/>
    <w:unhideWhenUsed/>
    <w:qFormat/>
    <w:uiPriority w:val="99"/>
    <w:pPr>
      <w:widowControl/>
      <w:spacing w:before="100" w:beforeAutospacing="1" w:after="100" w:afterAutospacing="1"/>
      <w:jc w:val="left"/>
    </w:pPr>
    <w:rPr>
      <w:rFonts w:ascii="宋体" w:hAnsi="宋体" w:eastAsia="宋体" w:cs="宋体"/>
      <w:kern w:val="0"/>
      <w:sz w:val="24"/>
    </w:rPr>
  </w:style>
  <w:style w:type="paragraph" w:styleId="15">
    <w:name w:val="annotation subject"/>
    <w:basedOn w:val="7"/>
    <w:next w:val="7"/>
    <w:link w:val="43"/>
    <w:unhideWhenUsed/>
    <w:qFormat/>
    <w:uiPriority w:val="99"/>
    <w:rPr>
      <w:b/>
      <w:bCs/>
    </w:rPr>
  </w:style>
  <w:style w:type="table" w:styleId="17">
    <w:name w:val="Table Grid"/>
    <w:basedOn w:val="1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qFormat/>
    <w:uiPriority w:val="22"/>
    <w:rPr>
      <w:b/>
      <w:bCs/>
    </w:rPr>
  </w:style>
  <w:style w:type="character" w:styleId="20">
    <w:name w:val="Hyperlink"/>
    <w:basedOn w:val="18"/>
    <w:qFormat/>
    <w:uiPriority w:val="99"/>
    <w:rPr>
      <w:color w:val="0563C1" w:themeColor="hyperlink"/>
      <w:u w:val="single"/>
      <w14:textFill>
        <w14:solidFill>
          <w14:schemeClr w14:val="hlink"/>
        </w14:solidFill>
      </w14:textFill>
    </w:rPr>
  </w:style>
  <w:style w:type="character" w:styleId="21">
    <w:name w:val="annotation reference"/>
    <w:basedOn w:val="18"/>
    <w:unhideWhenUsed/>
    <w:uiPriority w:val="99"/>
    <w:rPr>
      <w:sz w:val="21"/>
      <w:szCs w:val="21"/>
    </w:rPr>
  </w:style>
  <w:style w:type="paragraph" w:customStyle="1" w:styleId="22">
    <w:name w:val="WPSOffice手动目录 1"/>
    <w:qFormat/>
    <w:uiPriority w:val="0"/>
    <w:rPr>
      <w:rFonts w:ascii="Times New Roman" w:hAnsi="Times New Roman" w:eastAsia="宋体" w:cs="Times New Roman"/>
      <w:lang w:val="en-US" w:eastAsia="zh-CN" w:bidi="ar-SA"/>
    </w:rPr>
  </w:style>
  <w:style w:type="character" w:customStyle="1" w:styleId="23">
    <w:name w:val="页脚 字符"/>
    <w:basedOn w:val="18"/>
    <w:link w:val="10"/>
    <w:qFormat/>
    <w:uiPriority w:val="99"/>
    <w:rPr>
      <w:rFonts w:eastAsia="仿宋" w:cstheme="minorBidi"/>
      <w:kern w:val="2"/>
      <w:sz w:val="18"/>
      <w:szCs w:val="24"/>
    </w:rPr>
  </w:style>
  <w:style w:type="character" w:customStyle="1" w:styleId="24">
    <w:name w:val="未处理的提及1"/>
    <w:basedOn w:val="18"/>
    <w:semiHidden/>
    <w:unhideWhenUsed/>
    <w:qFormat/>
    <w:uiPriority w:val="99"/>
    <w:rPr>
      <w:color w:val="605E5C"/>
      <w:shd w:val="clear" w:color="auto" w:fill="E1DFDD"/>
    </w:rPr>
  </w:style>
  <w:style w:type="table" w:customStyle="1" w:styleId="25">
    <w:name w:val="网格型1"/>
    <w:basedOn w:val="16"/>
    <w:unhideWhenUsed/>
    <w:qFormat/>
    <w:uiPriority w:val="0"/>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6">
    <w:name w:val="标题 2 字符"/>
    <w:basedOn w:val="18"/>
    <w:link w:val="4"/>
    <w:qFormat/>
    <w:uiPriority w:val="9"/>
    <w:rPr>
      <w:rFonts w:asciiTheme="majorHAnsi" w:hAnsiTheme="majorHAnsi" w:eastAsiaTheme="majorEastAsia" w:cstheme="majorBidi"/>
      <w:b/>
      <w:bCs/>
      <w:kern w:val="2"/>
      <w:sz w:val="32"/>
      <w:szCs w:val="32"/>
    </w:rPr>
  </w:style>
  <w:style w:type="character" w:customStyle="1" w:styleId="27">
    <w:name w:val="标题 1 字符"/>
    <w:basedOn w:val="18"/>
    <w:link w:val="3"/>
    <w:qFormat/>
    <w:uiPriority w:val="9"/>
    <w:rPr>
      <w:rFonts w:eastAsia="仿宋" w:cstheme="minorBidi"/>
      <w:b/>
      <w:bCs/>
      <w:kern w:val="44"/>
      <w:sz w:val="44"/>
      <w:szCs w:val="44"/>
    </w:rPr>
  </w:style>
  <w:style w:type="character" w:customStyle="1" w:styleId="28">
    <w:name w:val="批注框文本 字符"/>
    <w:basedOn w:val="18"/>
    <w:link w:val="9"/>
    <w:qFormat/>
    <w:uiPriority w:val="99"/>
    <w:rPr>
      <w:rFonts w:eastAsia="仿宋" w:cstheme="minorBidi"/>
      <w:kern w:val="2"/>
      <w:sz w:val="18"/>
      <w:szCs w:val="18"/>
    </w:rPr>
  </w:style>
  <w:style w:type="character" w:customStyle="1" w:styleId="29">
    <w:name w:val="标题 4 字符"/>
    <w:basedOn w:val="18"/>
    <w:link w:val="6"/>
    <w:semiHidden/>
    <w:qFormat/>
    <w:uiPriority w:val="9"/>
    <w:rPr>
      <w:rFonts w:ascii="Cambria" w:hAnsi="Cambria"/>
      <w:b/>
      <w:bCs/>
      <w:sz w:val="28"/>
      <w:szCs w:val="28"/>
    </w:rPr>
  </w:style>
  <w:style w:type="table" w:customStyle="1" w:styleId="30">
    <w:name w:val="网格型11"/>
    <w:basedOn w:val="16"/>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31">
    <w:name w:val="List Paragraph"/>
    <w:basedOn w:val="1"/>
    <w:qFormat/>
    <w:uiPriority w:val="34"/>
    <w:pPr>
      <w:ind w:firstLine="420" w:firstLineChars="200"/>
    </w:pPr>
  </w:style>
  <w:style w:type="table" w:customStyle="1" w:styleId="32">
    <w:name w:val="网格型2"/>
    <w:basedOn w:val="16"/>
    <w:unhideWhenUsed/>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
    <w:name w:val="网格型3"/>
    <w:basedOn w:val="16"/>
    <w:unhideWhenUsed/>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
    <w:name w:val="网格型4"/>
    <w:basedOn w:val="16"/>
    <w:unhideWhenUsed/>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
    <w:name w:val="网格型5"/>
    <w:basedOn w:val="16"/>
    <w:unhideWhenUsed/>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
    <w:name w:val="页眉 字符"/>
    <w:basedOn w:val="18"/>
    <w:link w:val="11"/>
    <w:qFormat/>
    <w:uiPriority w:val="99"/>
    <w:rPr>
      <w:rFonts w:eastAsia="仿宋" w:cstheme="minorBidi"/>
      <w:kern w:val="2"/>
      <w:sz w:val="18"/>
      <w:szCs w:val="24"/>
    </w:rPr>
  </w:style>
  <w:style w:type="paragraph" w:customStyle="1" w:styleId="37">
    <w:name w:val="标题 41"/>
    <w:basedOn w:val="1"/>
    <w:next w:val="1"/>
    <w:unhideWhenUsed/>
    <w:qFormat/>
    <w:uiPriority w:val="9"/>
    <w:pPr>
      <w:keepNext/>
      <w:keepLines/>
      <w:spacing w:before="280" w:after="290" w:line="376" w:lineRule="auto"/>
      <w:outlineLvl w:val="3"/>
    </w:pPr>
    <w:rPr>
      <w:rFonts w:ascii="Cambria" w:hAnsi="Cambria" w:eastAsia="宋体" w:cs="Times New Roman"/>
      <w:b/>
      <w:bCs/>
      <w:sz w:val="28"/>
      <w:szCs w:val="28"/>
    </w:rPr>
  </w:style>
  <w:style w:type="table" w:customStyle="1" w:styleId="38">
    <w:name w:val="网格型6"/>
    <w:basedOn w:val="16"/>
    <w:unhideWhenUsed/>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9">
    <w:name w:val="标题 3 字符"/>
    <w:basedOn w:val="18"/>
    <w:link w:val="5"/>
    <w:qFormat/>
    <w:uiPriority w:val="9"/>
    <w:rPr>
      <w:b/>
      <w:bCs/>
      <w:kern w:val="2"/>
      <w:sz w:val="28"/>
      <w:szCs w:val="32"/>
    </w:rPr>
  </w:style>
  <w:style w:type="paragraph" w:customStyle="1" w:styleId="40">
    <w:name w:val="TOC 标题1"/>
    <w:basedOn w:val="3"/>
    <w:next w:val="1"/>
    <w:unhideWhenUsed/>
    <w:qFormat/>
    <w:uiPriority w:val="39"/>
    <w:pPr>
      <w:widowControl/>
      <w:spacing w:before="240" w:after="0" w:line="259" w:lineRule="auto"/>
      <w:jc w:val="left"/>
      <w:outlineLvl w:val="9"/>
    </w:pPr>
    <w:rPr>
      <w:rFonts w:ascii="Cambria" w:hAnsi="Cambria" w:eastAsia="黑体" w:cs="Times New Roman"/>
      <w:b w:val="0"/>
      <w:bCs w:val="0"/>
      <w:color w:val="365F91"/>
      <w:kern w:val="0"/>
      <w:sz w:val="28"/>
      <w:szCs w:val="32"/>
    </w:rPr>
  </w:style>
  <w:style w:type="character" w:customStyle="1" w:styleId="41">
    <w:name w:val="超链接1"/>
    <w:basedOn w:val="18"/>
    <w:unhideWhenUsed/>
    <w:qFormat/>
    <w:uiPriority w:val="99"/>
    <w:rPr>
      <w:color w:val="0000FF"/>
      <w:u w:val="single"/>
    </w:rPr>
  </w:style>
  <w:style w:type="character" w:customStyle="1" w:styleId="42">
    <w:name w:val="批注文字 字符"/>
    <w:basedOn w:val="18"/>
    <w:link w:val="7"/>
    <w:qFormat/>
    <w:uiPriority w:val="99"/>
    <w:rPr>
      <w:rFonts w:cstheme="minorBidi"/>
      <w:kern w:val="2"/>
      <w:sz w:val="21"/>
      <w:szCs w:val="22"/>
    </w:rPr>
  </w:style>
  <w:style w:type="character" w:customStyle="1" w:styleId="43">
    <w:name w:val="批注主题 字符"/>
    <w:basedOn w:val="42"/>
    <w:link w:val="15"/>
    <w:qFormat/>
    <w:uiPriority w:val="99"/>
    <w:rPr>
      <w:rFonts w:cstheme="minorBidi"/>
      <w:b/>
      <w:bCs/>
      <w:kern w:val="2"/>
      <w:sz w:val="21"/>
      <w:szCs w:val="22"/>
    </w:rPr>
  </w:style>
  <w:style w:type="character" w:customStyle="1" w:styleId="44">
    <w:name w:val="标题 4 字符1"/>
    <w:basedOn w:val="18"/>
    <w:semiHidden/>
    <w:qFormat/>
    <w:uiPriority w:val="0"/>
    <w:rPr>
      <w:rFonts w:asciiTheme="majorHAnsi" w:hAnsiTheme="majorHAnsi" w:eastAsiaTheme="majorEastAsia" w:cstheme="majorBidi"/>
      <w:b/>
      <w:bCs/>
      <w:kern w:val="2"/>
      <w:sz w:val="28"/>
      <w:szCs w:val="28"/>
    </w:rPr>
  </w:style>
  <w:style w:type="character" w:customStyle="1" w:styleId="45">
    <w:name w:val="正文文本 字符"/>
    <w:basedOn w:val="18"/>
    <w:link w:val="2"/>
    <w:qFormat/>
    <w:uiPriority w:val="99"/>
    <w:rPr>
      <w:kern w:val="2"/>
      <w:sz w:val="28"/>
    </w:rPr>
  </w:style>
  <w:style w:type="table" w:customStyle="1" w:styleId="46">
    <w:name w:val="网格型7"/>
    <w:basedOn w:val="16"/>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footer" Target="footer4.xml"/><Relationship Id="rId89" Type="http://schemas.openxmlformats.org/officeDocument/2006/relationships/image" Target="media/image74.png"/><Relationship Id="rId88" Type="http://schemas.openxmlformats.org/officeDocument/2006/relationships/image" Target="media/image73.jpe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3.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jpe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header" Target="header3.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header" Target="head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jpeg"/><Relationship Id="rId50" Type="http://schemas.openxmlformats.org/officeDocument/2006/relationships/image" Target="media/image35.jpe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emf"/><Relationship Id="rId40" Type="http://schemas.openxmlformats.org/officeDocument/2006/relationships/oleObject" Target="embeddings/oleObject2.bin"/><Relationship Id="rId4" Type="http://schemas.openxmlformats.org/officeDocument/2006/relationships/footer" Target="footer2.xml"/><Relationship Id="rId39" Type="http://schemas.openxmlformats.org/officeDocument/2006/relationships/image" Target="media/image25.emf"/><Relationship Id="rId38" Type="http://schemas.openxmlformats.org/officeDocument/2006/relationships/oleObject" Target="embeddings/oleObject1.bin"/><Relationship Id="rId37" Type="http://schemas.openxmlformats.org/officeDocument/2006/relationships/image" Target="media/image24.png"/><Relationship Id="rId362" Type="http://schemas.openxmlformats.org/officeDocument/2006/relationships/fontTable" Target="fontTable.xml"/><Relationship Id="rId361" Type="http://schemas.openxmlformats.org/officeDocument/2006/relationships/customXml" Target="../customXml/item2.xml"/><Relationship Id="rId360" Type="http://schemas.openxmlformats.org/officeDocument/2006/relationships/numbering" Target="numbering.xml"/><Relationship Id="rId36" Type="http://schemas.openxmlformats.org/officeDocument/2006/relationships/image" Target="media/image23.png"/><Relationship Id="rId359" Type="http://schemas.openxmlformats.org/officeDocument/2006/relationships/customXml" Target="../customXml/item1.xml"/><Relationship Id="rId358" Type="http://schemas.openxmlformats.org/officeDocument/2006/relationships/image" Target="media/image342.png"/><Relationship Id="rId357" Type="http://schemas.openxmlformats.org/officeDocument/2006/relationships/image" Target="media/image341.png"/><Relationship Id="rId356" Type="http://schemas.openxmlformats.org/officeDocument/2006/relationships/image" Target="media/image340.png"/><Relationship Id="rId355" Type="http://schemas.openxmlformats.org/officeDocument/2006/relationships/image" Target="media/image339.png"/><Relationship Id="rId354" Type="http://schemas.openxmlformats.org/officeDocument/2006/relationships/image" Target="media/image338.png"/><Relationship Id="rId353" Type="http://schemas.openxmlformats.org/officeDocument/2006/relationships/image" Target="media/image337.png"/><Relationship Id="rId352" Type="http://schemas.openxmlformats.org/officeDocument/2006/relationships/image" Target="media/image336.png"/><Relationship Id="rId351" Type="http://schemas.openxmlformats.org/officeDocument/2006/relationships/image" Target="media/image335.png"/><Relationship Id="rId350" Type="http://schemas.openxmlformats.org/officeDocument/2006/relationships/image" Target="media/image334.png"/><Relationship Id="rId35" Type="http://schemas.openxmlformats.org/officeDocument/2006/relationships/image" Target="media/image22.png"/><Relationship Id="rId349" Type="http://schemas.openxmlformats.org/officeDocument/2006/relationships/image" Target="media/image333.png"/><Relationship Id="rId348" Type="http://schemas.openxmlformats.org/officeDocument/2006/relationships/image" Target="media/image332.png"/><Relationship Id="rId347" Type="http://schemas.openxmlformats.org/officeDocument/2006/relationships/image" Target="media/image331.png"/><Relationship Id="rId346" Type="http://schemas.openxmlformats.org/officeDocument/2006/relationships/image" Target="media/image330.png"/><Relationship Id="rId345" Type="http://schemas.openxmlformats.org/officeDocument/2006/relationships/image" Target="media/image329.png"/><Relationship Id="rId344" Type="http://schemas.openxmlformats.org/officeDocument/2006/relationships/image" Target="media/image328.png"/><Relationship Id="rId343" Type="http://schemas.openxmlformats.org/officeDocument/2006/relationships/image" Target="media/image327.png"/><Relationship Id="rId342" Type="http://schemas.openxmlformats.org/officeDocument/2006/relationships/image" Target="media/image326.png"/><Relationship Id="rId341" Type="http://schemas.openxmlformats.org/officeDocument/2006/relationships/image" Target="media/image325.png"/><Relationship Id="rId340" Type="http://schemas.openxmlformats.org/officeDocument/2006/relationships/image" Target="media/image324.png"/><Relationship Id="rId34" Type="http://schemas.openxmlformats.org/officeDocument/2006/relationships/image" Target="media/image21.png"/><Relationship Id="rId339" Type="http://schemas.openxmlformats.org/officeDocument/2006/relationships/image" Target="media/image323.png"/><Relationship Id="rId338" Type="http://schemas.openxmlformats.org/officeDocument/2006/relationships/image" Target="media/image322.png"/><Relationship Id="rId337" Type="http://schemas.openxmlformats.org/officeDocument/2006/relationships/image" Target="media/image321.png"/><Relationship Id="rId336" Type="http://schemas.openxmlformats.org/officeDocument/2006/relationships/image" Target="media/image320.png"/><Relationship Id="rId335" Type="http://schemas.openxmlformats.org/officeDocument/2006/relationships/image" Target="media/image319.png"/><Relationship Id="rId334" Type="http://schemas.openxmlformats.org/officeDocument/2006/relationships/image" Target="media/image318.png"/><Relationship Id="rId333" Type="http://schemas.openxmlformats.org/officeDocument/2006/relationships/image" Target="media/image317.png"/><Relationship Id="rId332" Type="http://schemas.openxmlformats.org/officeDocument/2006/relationships/image" Target="media/image316.png"/><Relationship Id="rId331" Type="http://schemas.openxmlformats.org/officeDocument/2006/relationships/image" Target="media/image315.png"/><Relationship Id="rId330" Type="http://schemas.openxmlformats.org/officeDocument/2006/relationships/image" Target="media/image314.png"/><Relationship Id="rId33" Type="http://schemas.openxmlformats.org/officeDocument/2006/relationships/image" Target="media/image20.png"/><Relationship Id="rId329" Type="http://schemas.openxmlformats.org/officeDocument/2006/relationships/image" Target="media/image313.png"/><Relationship Id="rId328" Type="http://schemas.openxmlformats.org/officeDocument/2006/relationships/image" Target="media/image312.png"/><Relationship Id="rId327" Type="http://schemas.openxmlformats.org/officeDocument/2006/relationships/image" Target="media/image311.png"/><Relationship Id="rId326" Type="http://schemas.openxmlformats.org/officeDocument/2006/relationships/image" Target="media/image310.png"/><Relationship Id="rId325" Type="http://schemas.openxmlformats.org/officeDocument/2006/relationships/image" Target="media/image309.png"/><Relationship Id="rId324" Type="http://schemas.openxmlformats.org/officeDocument/2006/relationships/image" Target="media/image308.png"/><Relationship Id="rId323" Type="http://schemas.openxmlformats.org/officeDocument/2006/relationships/image" Target="media/image307.png"/><Relationship Id="rId322" Type="http://schemas.openxmlformats.org/officeDocument/2006/relationships/image" Target="media/image306.png"/><Relationship Id="rId321" Type="http://schemas.openxmlformats.org/officeDocument/2006/relationships/image" Target="media/image305.png"/><Relationship Id="rId320" Type="http://schemas.openxmlformats.org/officeDocument/2006/relationships/image" Target="media/image304.png"/><Relationship Id="rId32" Type="http://schemas.openxmlformats.org/officeDocument/2006/relationships/image" Target="media/image19.png"/><Relationship Id="rId319" Type="http://schemas.openxmlformats.org/officeDocument/2006/relationships/image" Target="media/image303.png"/><Relationship Id="rId318" Type="http://schemas.openxmlformats.org/officeDocument/2006/relationships/image" Target="media/image302.png"/><Relationship Id="rId317" Type="http://schemas.openxmlformats.org/officeDocument/2006/relationships/image" Target="media/image301.png"/><Relationship Id="rId316" Type="http://schemas.openxmlformats.org/officeDocument/2006/relationships/image" Target="media/image300.png"/><Relationship Id="rId315" Type="http://schemas.openxmlformats.org/officeDocument/2006/relationships/image" Target="media/image299.png"/><Relationship Id="rId314" Type="http://schemas.openxmlformats.org/officeDocument/2006/relationships/image" Target="media/image298.png"/><Relationship Id="rId313" Type="http://schemas.openxmlformats.org/officeDocument/2006/relationships/image" Target="media/image297.png"/><Relationship Id="rId312" Type="http://schemas.openxmlformats.org/officeDocument/2006/relationships/image" Target="media/image296.png"/><Relationship Id="rId311" Type="http://schemas.openxmlformats.org/officeDocument/2006/relationships/image" Target="media/image295.png"/><Relationship Id="rId310" Type="http://schemas.openxmlformats.org/officeDocument/2006/relationships/image" Target="media/image294.png"/><Relationship Id="rId31" Type="http://schemas.openxmlformats.org/officeDocument/2006/relationships/image" Target="media/image18.png"/><Relationship Id="rId309" Type="http://schemas.openxmlformats.org/officeDocument/2006/relationships/image" Target="media/image293.png"/><Relationship Id="rId308" Type="http://schemas.openxmlformats.org/officeDocument/2006/relationships/image" Target="media/image292.png"/><Relationship Id="rId307" Type="http://schemas.openxmlformats.org/officeDocument/2006/relationships/image" Target="media/image291.png"/><Relationship Id="rId306" Type="http://schemas.openxmlformats.org/officeDocument/2006/relationships/image" Target="media/image290.png"/><Relationship Id="rId305" Type="http://schemas.openxmlformats.org/officeDocument/2006/relationships/image" Target="media/image289.png"/><Relationship Id="rId304" Type="http://schemas.openxmlformats.org/officeDocument/2006/relationships/image" Target="media/image288.png"/><Relationship Id="rId303" Type="http://schemas.openxmlformats.org/officeDocument/2006/relationships/image" Target="media/image287.png"/><Relationship Id="rId302" Type="http://schemas.openxmlformats.org/officeDocument/2006/relationships/image" Target="media/image286.png"/><Relationship Id="rId301" Type="http://schemas.openxmlformats.org/officeDocument/2006/relationships/image" Target="media/image285.png"/><Relationship Id="rId300" Type="http://schemas.openxmlformats.org/officeDocument/2006/relationships/image" Target="media/image284.png"/><Relationship Id="rId30" Type="http://schemas.openxmlformats.org/officeDocument/2006/relationships/image" Target="media/image17.png"/><Relationship Id="rId3" Type="http://schemas.openxmlformats.org/officeDocument/2006/relationships/footer" Target="footer1.xml"/><Relationship Id="rId299" Type="http://schemas.openxmlformats.org/officeDocument/2006/relationships/image" Target="media/image283.png"/><Relationship Id="rId298" Type="http://schemas.openxmlformats.org/officeDocument/2006/relationships/image" Target="media/image282.png"/><Relationship Id="rId297" Type="http://schemas.openxmlformats.org/officeDocument/2006/relationships/image" Target="media/image281.png"/><Relationship Id="rId296" Type="http://schemas.openxmlformats.org/officeDocument/2006/relationships/image" Target="media/image280.png"/><Relationship Id="rId295" Type="http://schemas.openxmlformats.org/officeDocument/2006/relationships/image" Target="media/image279.png"/><Relationship Id="rId294" Type="http://schemas.openxmlformats.org/officeDocument/2006/relationships/image" Target="media/image278.png"/><Relationship Id="rId293" Type="http://schemas.openxmlformats.org/officeDocument/2006/relationships/image" Target="media/image277.png"/><Relationship Id="rId292" Type="http://schemas.openxmlformats.org/officeDocument/2006/relationships/image" Target="media/image276.png"/><Relationship Id="rId291" Type="http://schemas.openxmlformats.org/officeDocument/2006/relationships/image" Target="media/image275.png"/><Relationship Id="rId290" Type="http://schemas.openxmlformats.org/officeDocument/2006/relationships/image" Target="media/image274.png"/><Relationship Id="rId29" Type="http://schemas.openxmlformats.org/officeDocument/2006/relationships/image" Target="media/image16.png"/><Relationship Id="rId289" Type="http://schemas.openxmlformats.org/officeDocument/2006/relationships/image" Target="media/image273.png"/><Relationship Id="rId288" Type="http://schemas.openxmlformats.org/officeDocument/2006/relationships/image" Target="media/image272.png"/><Relationship Id="rId287" Type="http://schemas.openxmlformats.org/officeDocument/2006/relationships/image" Target="media/image271.png"/><Relationship Id="rId286" Type="http://schemas.openxmlformats.org/officeDocument/2006/relationships/image" Target="media/image270.png"/><Relationship Id="rId285" Type="http://schemas.openxmlformats.org/officeDocument/2006/relationships/image" Target="media/image269.png"/><Relationship Id="rId284" Type="http://schemas.openxmlformats.org/officeDocument/2006/relationships/image" Target="media/image268.png"/><Relationship Id="rId283" Type="http://schemas.openxmlformats.org/officeDocument/2006/relationships/image" Target="media/image267.png"/><Relationship Id="rId282" Type="http://schemas.openxmlformats.org/officeDocument/2006/relationships/image" Target="media/image266.png"/><Relationship Id="rId281" Type="http://schemas.openxmlformats.org/officeDocument/2006/relationships/image" Target="media/image265.png"/><Relationship Id="rId280" Type="http://schemas.openxmlformats.org/officeDocument/2006/relationships/image" Target="media/image264.png"/><Relationship Id="rId28" Type="http://schemas.openxmlformats.org/officeDocument/2006/relationships/image" Target="media/image15.png"/><Relationship Id="rId279" Type="http://schemas.openxmlformats.org/officeDocument/2006/relationships/image" Target="media/image263.png"/><Relationship Id="rId278" Type="http://schemas.openxmlformats.org/officeDocument/2006/relationships/image" Target="media/image262.png"/><Relationship Id="rId277" Type="http://schemas.openxmlformats.org/officeDocument/2006/relationships/image" Target="media/image261.png"/><Relationship Id="rId276" Type="http://schemas.openxmlformats.org/officeDocument/2006/relationships/image" Target="media/image260.png"/><Relationship Id="rId275" Type="http://schemas.openxmlformats.org/officeDocument/2006/relationships/image" Target="media/image259.png"/><Relationship Id="rId274" Type="http://schemas.openxmlformats.org/officeDocument/2006/relationships/image" Target="media/image258.png"/><Relationship Id="rId273" Type="http://schemas.openxmlformats.org/officeDocument/2006/relationships/image" Target="media/image257.png"/><Relationship Id="rId272" Type="http://schemas.openxmlformats.org/officeDocument/2006/relationships/image" Target="media/image256.png"/><Relationship Id="rId271" Type="http://schemas.openxmlformats.org/officeDocument/2006/relationships/image" Target="media/image255.png"/><Relationship Id="rId270" Type="http://schemas.openxmlformats.org/officeDocument/2006/relationships/image" Target="media/image254.png"/><Relationship Id="rId27" Type="http://schemas.openxmlformats.org/officeDocument/2006/relationships/image" Target="media/image14.png"/><Relationship Id="rId269" Type="http://schemas.openxmlformats.org/officeDocument/2006/relationships/image" Target="media/image253.png"/><Relationship Id="rId268" Type="http://schemas.openxmlformats.org/officeDocument/2006/relationships/image" Target="media/image252.png"/><Relationship Id="rId267" Type="http://schemas.openxmlformats.org/officeDocument/2006/relationships/image" Target="media/image251.png"/><Relationship Id="rId266" Type="http://schemas.openxmlformats.org/officeDocument/2006/relationships/image" Target="media/image250.png"/><Relationship Id="rId265" Type="http://schemas.openxmlformats.org/officeDocument/2006/relationships/image" Target="media/image249.png"/><Relationship Id="rId264" Type="http://schemas.openxmlformats.org/officeDocument/2006/relationships/image" Target="media/image248.png"/><Relationship Id="rId263" Type="http://schemas.openxmlformats.org/officeDocument/2006/relationships/image" Target="media/image247.png"/><Relationship Id="rId262" Type="http://schemas.openxmlformats.org/officeDocument/2006/relationships/image" Target="media/image246.png"/><Relationship Id="rId261" Type="http://schemas.openxmlformats.org/officeDocument/2006/relationships/image" Target="media/image245.png"/><Relationship Id="rId260" Type="http://schemas.openxmlformats.org/officeDocument/2006/relationships/image" Target="media/image244.png"/><Relationship Id="rId26" Type="http://schemas.openxmlformats.org/officeDocument/2006/relationships/image" Target="media/image13.png"/><Relationship Id="rId259" Type="http://schemas.openxmlformats.org/officeDocument/2006/relationships/image" Target="media/image243.png"/><Relationship Id="rId258" Type="http://schemas.openxmlformats.org/officeDocument/2006/relationships/image" Target="media/image242.png"/><Relationship Id="rId257" Type="http://schemas.openxmlformats.org/officeDocument/2006/relationships/image" Target="media/image241.png"/><Relationship Id="rId256" Type="http://schemas.openxmlformats.org/officeDocument/2006/relationships/image" Target="media/image240.png"/><Relationship Id="rId255" Type="http://schemas.openxmlformats.org/officeDocument/2006/relationships/image" Target="media/image239.png"/><Relationship Id="rId254" Type="http://schemas.openxmlformats.org/officeDocument/2006/relationships/image" Target="media/image238.png"/><Relationship Id="rId253" Type="http://schemas.openxmlformats.org/officeDocument/2006/relationships/image" Target="media/image237.png"/><Relationship Id="rId252" Type="http://schemas.openxmlformats.org/officeDocument/2006/relationships/image" Target="media/image236.png"/><Relationship Id="rId251" Type="http://schemas.openxmlformats.org/officeDocument/2006/relationships/image" Target="media/image235.png"/><Relationship Id="rId250" Type="http://schemas.openxmlformats.org/officeDocument/2006/relationships/image" Target="media/image234.png"/><Relationship Id="rId25" Type="http://schemas.openxmlformats.org/officeDocument/2006/relationships/image" Target="media/image12.png"/><Relationship Id="rId249" Type="http://schemas.openxmlformats.org/officeDocument/2006/relationships/image" Target="media/image233.png"/><Relationship Id="rId248" Type="http://schemas.openxmlformats.org/officeDocument/2006/relationships/image" Target="media/image232.png"/><Relationship Id="rId247" Type="http://schemas.openxmlformats.org/officeDocument/2006/relationships/image" Target="media/image231.jpeg"/><Relationship Id="rId246" Type="http://schemas.openxmlformats.org/officeDocument/2006/relationships/image" Target="media/image230.png"/><Relationship Id="rId245" Type="http://schemas.openxmlformats.org/officeDocument/2006/relationships/image" Target="media/image229.png"/><Relationship Id="rId244" Type="http://schemas.openxmlformats.org/officeDocument/2006/relationships/image" Target="media/image228.png"/><Relationship Id="rId243" Type="http://schemas.openxmlformats.org/officeDocument/2006/relationships/image" Target="media/image227.png"/><Relationship Id="rId242" Type="http://schemas.openxmlformats.org/officeDocument/2006/relationships/image" Target="media/image226.png"/><Relationship Id="rId241" Type="http://schemas.openxmlformats.org/officeDocument/2006/relationships/image" Target="media/image225.png"/><Relationship Id="rId240" Type="http://schemas.openxmlformats.org/officeDocument/2006/relationships/image" Target="media/image224.png"/><Relationship Id="rId24" Type="http://schemas.openxmlformats.org/officeDocument/2006/relationships/image" Target="media/image11.png"/><Relationship Id="rId239" Type="http://schemas.openxmlformats.org/officeDocument/2006/relationships/image" Target="media/image223.png"/><Relationship Id="rId238" Type="http://schemas.openxmlformats.org/officeDocument/2006/relationships/image" Target="media/image222.png"/><Relationship Id="rId237" Type="http://schemas.openxmlformats.org/officeDocument/2006/relationships/image" Target="media/image221.jpeg"/><Relationship Id="rId236" Type="http://schemas.openxmlformats.org/officeDocument/2006/relationships/image" Target="media/image220.png"/><Relationship Id="rId235" Type="http://schemas.openxmlformats.org/officeDocument/2006/relationships/image" Target="media/image219.png"/><Relationship Id="rId234" Type="http://schemas.openxmlformats.org/officeDocument/2006/relationships/image" Target="media/image218.png"/><Relationship Id="rId233" Type="http://schemas.openxmlformats.org/officeDocument/2006/relationships/image" Target="media/image217.png"/><Relationship Id="rId232" Type="http://schemas.openxmlformats.org/officeDocument/2006/relationships/image" Target="media/image216.jpeg"/><Relationship Id="rId231" Type="http://schemas.openxmlformats.org/officeDocument/2006/relationships/image" Target="media/image215.png"/><Relationship Id="rId230" Type="http://schemas.openxmlformats.org/officeDocument/2006/relationships/image" Target="media/image214.png"/><Relationship Id="rId23" Type="http://schemas.openxmlformats.org/officeDocument/2006/relationships/image" Target="media/image10.png"/><Relationship Id="rId229" Type="http://schemas.openxmlformats.org/officeDocument/2006/relationships/image" Target="media/image213.png"/><Relationship Id="rId228" Type="http://schemas.openxmlformats.org/officeDocument/2006/relationships/image" Target="media/image212.png"/><Relationship Id="rId227" Type="http://schemas.openxmlformats.org/officeDocument/2006/relationships/image" Target="media/image211.png"/><Relationship Id="rId226" Type="http://schemas.openxmlformats.org/officeDocument/2006/relationships/image" Target="media/image210.png"/><Relationship Id="rId225" Type="http://schemas.openxmlformats.org/officeDocument/2006/relationships/image" Target="media/image209.png"/><Relationship Id="rId224" Type="http://schemas.openxmlformats.org/officeDocument/2006/relationships/image" Target="media/image208.png"/><Relationship Id="rId223" Type="http://schemas.openxmlformats.org/officeDocument/2006/relationships/image" Target="media/image207.png"/><Relationship Id="rId222" Type="http://schemas.openxmlformats.org/officeDocument/2006/relationships/image" Target="media/image206.png"/><Relationship Id="rId221" Type="http://schemas.openxmlformats.org/officeDocument/2006/relationships/image" Target="media/image205.png"/><Relationship Id="rId220" Type="http://schemas.openxmlformats.org/officeDocument/2006/relationships/image" Target="media/image204.png"/><Relationship Id="rId22" Type="http://schemas.openxmlformats.org/officeDocument/2006/relationships/image" Target="media/image9.png"/><Relationship Id="rId219" Type="http://schemas.openxmlformats.org/officeDocument/2006/relationships/image" Target="media/image203.png"/><Relationship Id="rId218" Type="http://schemas.openxmlformats.org/officeDocument/2006/relationships/image" Target="media/image202.png"/><Relationship Id="rId217" Type="http://schemas.openxmlformats.org/officeDocument/2006/relationships/image" Target="media/image201.png"/><Relationship Id="rId216" Type="http://schemas.openxmlformats.org/officeDocument/2006/relationships/image" Target="media/image200.png"/><Relationship Id="rId215" Type="http://schemas.openxmlformats.org/officeDocument/2006/relationships/image" Target="media/image199.jpeg"/><Relationship Id="rId214" Type="http://schemas.openxmlformats.org/officeDocument/2006/relationships/image" Target="media/image198.png"/><Relationship Id="rId213" Type="http://schemas.openxmlformats.org/officeDocument/2006/relationships/image" Target="media/image197.png"/><Relationship Id="rId212" Type="http://schemas.openxmlformats.org/officeDocument/2006/relationships/image" Target="media/image196.png"/><Relationship Id="rId211" Type="http://schemas.openxmlformats.org/officeDocument/2006/relationships/image" Target="media/image195.png"/><Relationship Id="rId210" Type="http://schemas.openxmlformats.org/officeDocument/2006/relationships/image" Target="media/image194.png"/><Relationship Id="rId21" Type="http://schemas.openxmlformats.org/officeDocument/2006/relationships/image" Target="media/image8.png"/><Relationship Id="rId209" Type="http://schemas.openxmlformats.org/officeDocument/2006/relationships/image" Target="media/image193.jpeg"/><Relationship Id="rId208" Type="http://schemas.openxmlformats.org/officeDocument/2006/relationships/image" Target="media/image192.png"/><Relationship Id="rId207" Type="http://schemas.openxmlformats.org/officeDocument/2006/relationships/image" Target="media/image191.png"/><Relationship Id="rId206" Type="http://schemas.openxmlformats.org/officeDocument/2006/relationships/image" Target="media/image190.png"/><Relationship Id="rId205" Type="http://schemas.openxmlformats.org/officeDocument/2006/relationships/image" Target="media/image189.png"/><Relationship Id="rId204" Type="http://schemas.openxmlformats.org/officeDocument/2006/relationships/image" Target="media/image188.png"/><Relationship Id="rId203" Type="http://schemas.openxmlformats.org/officeDocument/2006/relationships/image" Target="media/image187.png"/><Relationship Id="rId202" Type="http://schemas.openxmlformats.org/officeDocument/2006/relationships/image" Target="media/image186.png"/><Relationship Id="rId201" Type="http://schemas.openxmlformats.org/officeDocument/2006/relationships/image" Target="media/image185.png"/><Relationship Id="rId200" Type="http://schemas.openxmlformats.org/officeDocument/2006/relationships/image" Target="media/image184.png"/><Relationship Id="rId20" Type="http://schemas.openxmlformats.org/officeDocument/2006/relationships/image" Target="media/image7.jpeg"/><Relationship Id="rId2" Type="http://schemas.openxmlformats.org/officeDocument/2006/relationships/settings" Target="settings.xml"/><Relationship Id="rId199" Type="http://schemas.openxmlformats.org/officeDocument/2006/relationships/image" Target="media/image183.png"/><Relationship Id="rId198" Type="http://schemas.openxmlformats.org/officeDocument/2006/relationships/image" Target="media/image182.png"/><Relationship Id="rId197" Type="http://schemas.openxmlformats.org/officeDocument/2006/relationships/image" Target="media/image181.png"/><Relationship Id="rId196" Type="http://schemas.openxmlformats.org/officeDocument/2006/relationships/image" Target="media/image180.png"/><Relationship Id="rId195" Type="http://schemas.openxmlformats.org/officeDocument/2006/relationships/image" Target="media/image179.png"/><Relationship Id="rId194" Type="http://schemas.openxmlformats.org/officeDocument/2006/relationships/image" Target="media/image178.png"/><Relationship Id="rId193" Type="http://schemas.openxmlformats.org/officeDocument/2006/relationships/image" Target="media/image177.png"/><Relationship Id="rId192" Type="http://schemas.openxmlformats.org/officeDocument/2006/relationships/image" Target="media/image176.png"/><Relationship Id="rId191" Type="http://schemas.openxmlformats.org/officeDocument/2006/relationships/image" Target="media/image175.png"/><Relationship Id="rId190" Type="http://schemas.openxmlformats.org/officeDocument/2006/relationships/image" Target="media/image174.png"/><Relationship Id="rId19" Type="http://schemas.openxmlformats.org/officeDocument/2006/relationships/image" Target="media/image6.jpeg"/><Relationship Id="rId189" Type="http://schemas.openxmlformats.org/officeDocument/2006/relationships/image" Target="media/image173.png"/><Relationship Id="rId188" Type="http://schemas.openxmlformats.org/officeDocument/2006/relationships/image" Target="media/image172.png"/><Relationship Id="rId187" Type="http://schemas.openxmlformats.org/officeDocument/2006/relationships/image" Target="media/image171.jpeg"/><Relationship Id="rId186" Type="http://schemas.openxmlformats.org/officeDocument/2006/relationships/image" Target="media/image170.jpeg"/><Relationship Id="rId185" Type="http://schemas.openxmlformats.org/officeDocument/2006/relationships/image" Target="media/image169.png"/><Relationship Id="rId184" Type="http://schemas.openxmlformats.org/officeDocument/2006/relationships/image" Target="media/image168.jpeg"/><Relationship Id="rId183" Type="http://schemas.openxmlformats.org/officeDocument/2006/relationships/image" Target="media/image167.jpeg"/><Relationship Id="rId182" Type="http://schemas.openxmlformats.org/officeDocument/2006/relationships/image" Target="media/image166.png"/><Relationship Id="rId181" Type="http://schemas.openxmlformats.org/officeDocument/2006/relationships/image" Target="media/image165.png"/><Relationship Id="rId180" Type="http://schemas.openxmlformats.org/officeDocument/2006/relationships/image" Target="media/image164.png"/><Relationship Id="rId18" Type="http://schemas.openxmlformats.org/officeDocument/2006/relationships/image" Target="media/image5.png"/><Relationship Id="rId179" Type="http://schemas.openxmlformats.org/officeDocument/2006/relationships/image" Target="media/image163.png"/><Relationship Id="rId178" Type="http://schemas.openxmlformats.org/officeDocument/2006/relationships/image" Target="media/image162.png"/><Relationship Id="rId177" Type="http://schemas.openxmlformats.org/officeDocument/2006/relationships/image" Target="media/image161.png"/><Relationship Id="rId176" Type="http://schemas.openxmlformats.org/officeDocument/2006/relationships/image" Target="media/image160.jpeg"/><Relationship Id="rId175" Type="http://schemas.openxmlformats.org/officeDocument/2006/relationships/image" Target="media/image159.jpeg"/><Relationship Id="rId174" Type="http://schemas.openxmlformats.org/officeDocument/2006/relationships/image" Target="media/image158.jpeg"/><Relationship Id="rId173" Type="http://schemas.openxmlformats.org/officeDocument/2006/relationships/image" Target="media/image157.jpeg"/><Relationship Id="rId172" Type="http://schemas.openxmlformats.org/officeDocument/2006/relationships/image" Target="media/image156.jpeg"/><Relationship Id="rId171" Type="http://schemas.openxmlformats.org/officeDocument/2006/relationships/image" Target="media/image155.png"/><Relationship Id="rId170" Type="http://schemas.openxmlformats.org/officeDocument/2006/relationships/image" Target="media/image154.png"/><Relationship Id="rId17" Type="http://schemas.openxmlformats.org/officeDocument/2006/relationships/image" Target="media/image4.png"/><Relationship Id="rId169" Type="http://schemas.openxmlformats.org/officeDocument/2006/relationships/image" Target="media/image153.png"/><Relationship Id="rId168" Type="http://schemas.openxmlformats.org/officeDocument/2006/relationships/image" Target="media/image152.png"/><Relationship Id="rId167" Type="http://schemas.openxmlformats.org/officeDocument/2006/relationships/image" Target="media/image151.png"/><Relationship Id="rId166" Type="http://schemas.openxmlformats.org/officeDocument/2006/relationships/image" Target="media/image150.png"/><Relationship Id="rId165" Type="http://schemas.openxmlformats.org/officeDocument/2006/relationships/image" Target="media/image149.png"/><Relationship Id="rId164" Type="http://schemas.openxmlformats.org/officeDocument/2006/relationships/image" Target="media/image148.png"/><Relationship Id="rId163" Type="http://schemas.openxmlformats.org/officeDocument/2006/relationships/image" Target="media/image147.png"/><Relationship Id="rId162" Type="http://schemas.openxmlformats.org/officeDocument/2006/relationships/image" Target="media/image146.png"/><Relationship Id="rId161" Type="http://schemas.openxmlformats.org/officeDocument/2006/relationships/image" Target="media/image145.png"/><Relationship Id="rId160" Type="http://schemas.openxmlformats.org/officeDocument/2006/relationships/image" Target="media/image144.emf"/><Relationship Id="rId16" Type="http://schemas.openxmlformats.org/officeDocument/2006/relationships/image" Target="media/image3.png"/><Relationship Id="rId159" Type="http://schemas.openxmlformats.org/officeDocument/2006/relationships/oleObject" Target="embeddings/oleObject3.bin"/><Relationship Id="rId158" Type="http://schemas.openxmlformats.org/officeDocument/2006/relationships/image" Target="media/image143.jpeg"/><Relationship Id="rId157" Type="http://schemas.openxmlformats.org/officeDocument/2006/relationships/image" Target="media/image142.png"/><Relationship Id="rId156" Type="http://schemas.openxmlformats.org/officeDocument/2006/relationships/image" Target="media/image141.jpeg"/><Relationship Id="rId155" Type="http://schemas.openxmlformats.org/officeDocument/2006/relationships/image" Target="media/image140.jpeg"/><Relationship Id="rId154" Type="http://schemas.openxmlformats.org/officeDocument/2006/relationships/image" Target="media/image139.png"/><Relationship Id="rId153" Type="http://schemas.openxmlformats.org/officeDocument/2006/relationships/image" Target="media/image138.png"/><Relationship Id="rId152" Type="http://schemas.openxmlformats.org/officeDocument/2006/relationships/image" Target="media/image137.png"/><Relationship Id="rId151" Type="http://schemas.openxmlformats.org/officeDocument/2006/relationships/image" Target="media/image136.png"/><Relationship Id="rId150" Type="http://schemas.openxmlformats.org/officeDocument/2006/relationships/image" Target="media/image135.png"/><Relationship Id="rId15" Type="http://schemas.openxmlformats.org/officeDocument/2006/relationships/image" Target="media/image2.png"/><Relationship Id="rId149" Type="http://schemas.openxmlformats.org/officeDocument/2006/relationships/image" Target="media/image134.png"/><Relationship Id="rId148" Type="http://schemas.openxmlformats.org/officeDocument/2006/relationships/image" Target="media/image133.png"/><Relationship Id="rId147" Type="http://schemas.openxmlformats.org/officeDocument/2006/relationships/image" Target="media/image132.png"/><Relationship Id="rId146" Type="http://schemas.openxmlformats.org/officeDocument/2006/relationships/image" Target="media/image131.png"/><Relationship Id="rId145" Type="http://schemas.openxmlformats.org/officeDocument/2006/relationships/image" Target="media/image130.png"/><Relationship Id="rId144" Type="http://schemas.openxmlformats.org/officeDocument/2006/relationships/image" Target="media/image129.png"/><Relationship Id="rId143" Type="http://schemas.openxmlformats.org/officeDocument/2006/relationships/image" Target="media/image128.png"/><Relationship Id="rId142" Type="http://schemas.openxmlformats.org/officeDocument/2006/relationships/image" Target="media/image127.png"/><Relationship Id="rId141" Type="http://schemas.openxmlformats.org/officeDocument/2006/relationships/image" Target="media/image126.png"/><Relationship Id="rId140" Type="http://schemas.openxmlformats.org/officeDocument/2006/relationships/image" Target="media/image125.png"/><Relationship Id="rId14" Type="http://schemas.openxmlformats.org/officeDocument/2006/relationships/image" Target="media/image1.jpeg"/><Relationship Id="rId139" Type="http://schemas.openxmlformats.org/officeDocument/2006/relationships/image" Target="media/image124.png"/><Relationship Id="rId138" Type="http://schemas.openxmlformats.org/officeDocument/2006/relationships/image" Target="media/image123.png"/><Relationship Id="rId137" Type="http://schemas.openxmlformats.org/officeDocument/2006/relationships/image" Target="media/image122.png"/><Relationship Id="rId136" Type="http://schemas.openxmlformats.org/officeDocument/2006/relationships/image" Target="media/image121.png"/><Relationship Id="rId135" Type="http://schemas.openxmlformats.org/officeDocument/2006/relationships/image" Target="media/image120.png"/><Relationship Id="rId134" Type="http://schemas.openxmlformats.org/officeDocument/2006/relationships/image" Target="media/image119.png"/><Relationship Id="rId133" Type="http://schemas.openxmlformats.org/officeDocument/2006/relationships/image" Target="media/image118.png"/><Relationship Id="rId132" Type="http://schemas.openxmlformats.org/officeDocument/2006/relationships/image" Target="media/image117.png"/><Relationship Id="rId131" Type="http://schemas.openxmlformats.org/officeDocument/2006/relationships/image" Target="media/image116.png"/><Relationship Id="rId130" Type="http://schemas.openxmlformats.org/officeDocument/2006/relationships/image" Target="media/image115.png"/><Relationship Id="rId13" Type="http://schemas.openxmlformats.org/officeDocument/2006/relationships/theme" Target="theme/theme1.xml"/><Relationship Id="rId129" Type="http://schemas.openxmlformats.org/officeDocument/2006/relationships/image" Target="media/image114.png"/><Relationship Id="rId128" Type="http://schemas.openxmlformats.org/officeDocument/2006/relationships/image" Target="media/image113.png"/><Relationship Id="rId127" Type="http://schemas.openxmlformats.org/officeDocument/2006/relationships/image" Target="media/image112.jpeg"/><Relationship Id="rId126" Type="http://schemas.openxmlformats.org/officeDocument/2006/relationships/image" Target="media/image111.png"/><Relationship Id="rId125" Type="http://schemas.openxmlformats.org/officeDocument/2006/relationships/image" Target="media/image110.png"/><Relationship Id="rId124" Type="http://schemas.openxmlformats.org/officeDocument/2006/relationships/image" Target="media/image109.png"/><Relationship Id="rId123" Type="http://schemas.openxmlformats.org/officeDocument/2006/relationships/image" Target="media/image108.png"/><Relationship Id="rId122" Type="http://schemas.openxmlformats.org/officeDocument/2006/relationships/image" Target="media/image107.png"/><Relationship Id="rId121" Type="http://schemas.openxmlformats.org/officeDocument/2006/relationships/image" Target="media/image106.png"/><Relationship Id="rId120" Type="http://schemas.openxmlformats.org/officeDocument/2006/relationships/image" Target="media/image105.png"/><Relationship Id="rId12" Type="http://schemas.openxmlformats.org/officeDocument/2006/relationships/footer" Target="footer7.xml"/><Relationship Id="rId119" Type="http://schemas.openxmlformats.org/officeDocument/2006/relationships/image" Target="media/image104.png"/><Relationship Id="rId118" Type="http://schemas.openxmlformats.org/officeDocument/2006/relationships/image" Target="media/image103.png"/><Relationship Id="rId117" Type="http://schemas.openxmlformats.org/officeDocument/2006/relationships/image" Target="media/image102.png"/><Relationship Id="rId116" Type="http://schemas.openxmlformats.org/officeDocument/2006/relationships/image" Target="media/image101.pn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footer" Target="footer6.xml"/><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png"/><Relationship Id="rId100" Type="http://schemas.openxmlformats.org/officeDocument/2006/relationships/image" Target="media/image85.pn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B566DF5-FCD1-49B5-87A7-622C01E92E1D}">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Pages>
  <Words>9627</Words>
  <Characters>54879</Characters>
  <Lines>457</Lines>
  <Paragraphs>128</Paragraphs>
  <TotalTime>4</TotalTime>
  <ScaleCrop>false</ScaleCrop>
  <LinksUpToDate>false</LinksUpToDate>
  <CharactersWithSpaces>64378</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2022-01-21T03:33:00Z</dcterms:created>
  <dc:creator>Administrator</dc:creator>
  <cp:lastModifiedBy>老地方</cp:lastModifiedBy>
  <dcterms:modified xsi:type="dcterms:W3CDTF">2022-03-01T02:53:44Z</dcterms:modified>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33001C4AF6E34C34A0A0855C6980C34E</vt:lpwstr>
  </property>
</Properties>
</file>