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sz w:val="52"/>
        </w:rPr>
      </w:pPr>
    </w:p>
    <w:p>
      <w:pPr>
        <w:jc w:val="center"/>
        <w:rPr>
          <w:rFonts w:ascii="Times New Roman" w:hAnsi="Times New Roman" w:eastAsia="黑体"/>
          <w:sz w:val="52"/>
        </w:rPr>
      </w:pPr>
    </w:p>
    <w:p>
      <w:pPr>
        <w:jc w:val="center"/>
        <w:rPr>
          <w:rFonts w:ascii="Times New Roman" w:hAnsi="Times New Roman" w:eastAsia="方正小标宋_GBK"/>
          <w:b/>
          <w:sz w:val="52"/>
          <w:szCs w:val="52"/>
        </w:rPr>
      </w:pPr>
    </w:p>
    <w:p>
      <w:pPr>
        <w:jc w:val="center"/>
        <w:rPr>
          <w:rFonts w:ascii="Times New Roman" w:hAnsi="Times New Roman" w:eastAsia="方正小标宋_GBK"/>
          <w:sz w:val="52"/>
          <w:szCs w:val="52"/>
        </w:rPr>
      </w:pPr>
      <w:r>
        <w:rPr>
          <w:rFonts w:hint="eastAsia" w:ascii="Times New Roman" w:hAnsi="Times New Roman" w:eastAsia="方正小标宋_GBK"/>
          <w:sz w:val="52"/>
          <w:szCs w:val="52"/>
        </w:rPr>
        <w:t>江苏省固体（危险）废物</w:t>
      </w:r>
    </w:p>
    <w:p>
      <w:pPr>
        <w:jc w:val="center"/>
        <w:rPr>
          <w:rFonts w:ascii="Times New Roman" w:hAnsi="Times New Roman" w:eastAsia="方正小标宋_GBK"/>
          <w:sz w:val="52"/>
          <w:szCs w:val="52"/>
        </w:rPr>
      </w:pPr>
      <w:r>
        <w:rPr>
          <w:rFonts w:hint="eastAsia" w:ascii="Times New Roman" w:hAnsi="Times New Roman" w:eastAsia="方正小标宋_GBK"/>
          <w:sz w:val="52"/>
          <w:szCs w:val="52"/>
        </w:rPr>
        <w:t>跨省（市）转移实施方案</w:t>
      </w:r>
    </w:p>
    <w:p>
      <w:pPr>
        <w:jc w:val="center"/>
        <w:rPr>
          <w:rFonts w:ascii="Times New Roman" w:hAnsi="Times New Roman"/>
          <w:sz w:val="52"/>
        </w:rPr>
      </w:pPr>
    </w:p>
    <w:p>
      <w:pPr>
        <w:jc w:val="center"/>
        <w:rPr>
          <w:rFonts w:ascii="Times New Roman" w:hAnsi="Times New Roman"/>
          <w:sz w:val="52"/>
        </w:rPr>
      </w:pPr>
    </w:p>
    <w:p>
      <w:pPr>
        <w:jc w:val="cente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pStyle w:val="2"/>
        <w:tabs>
          <w:tab w:val="left" w:pos="5940"/>
        </w:tabs>
        <w:snapToGrid w:val="0"/>
        <w:rPr>
          <w:rFonts w:ascii="Times New Roman" w:hAnsi="Times New Roman"/>
          <w:b/>
          <w:sz w:val="32"/>
        </w:rPr>
      </w:pPr>
      <w:r>
        <w:rPr>
          <w:rFonts w:hint="eastAsia" w:ascii="Times New Roman" w:hAnsi="宋体"/>
          <w:b/>
          <w:sz w:val="32"/>
        </w:rPr>
        <w:t>申请单位：</w:t>
      </w:r>
      <w:r>
        <w:rPr>
          <w:rFonts w:hint="eastAsia" w:ascii="Times New Roman" w:hAnsi="宋体"/>
          <w:b/>
          <w:sz w:val="32"/>
          <w:u w:val="single"/>
          <w:lang w:eastAsia="zh-CN"/>
        </w:rPr>
        <w:t>江苏九洲包装科技有限公司</w:t>
      </w:r>
      <w:r>
        <w:rPr>
          <w:rFonts w:hint="eastAsia" w:ascii="Times New Roman" w:hAnsi="宋体"/>
          <w:b/>
          <w:sz w:val="32"/>
        </w:rPr>
        <w:t>（公章）</w:t>
      </w:r>
    </w:p>
    <w:p>
      <w:pPr>
        <w:tabs>
          <w:tab w:val="left" w:pos="5940"/>
        </w:tabs>
        <w:rPr>
          <w:rFonts w:ascii="Times New Roman" w:hAnsi="Times New Roman"/>
          <w:b/>
          <w:sz w:val="32"/>
        </w:rPr>
      </w:pPr>
    </w:p>
    <w:p>
      <w:pPr>
        <w:tabs>
          <w:tab w:val="left" w:pos="5940"/>
        </w:tabs>
        <w:rPr>
          <w:rFonts w:ascii="Times New Roman" w:hAnsi="Times New Roman"/>
          <w:b/>
          <w:sz w:val="32"/>
        </w:rPr>
      </w:pPr>
    </w:p>
    <w:p>
      <w:pPr>
        <w:pStyle w:val="2"/>
        <w:tabs>
          <w:tab w:val="left" w:pos="5940"/>
        </w:tabs>
        <w:snapToGrid w:val="0"/>
        <w:rPr>
          <w:rFonts w:ascii="Times New Roman" w:hAnsi="宋体"/>
          <w:b/>
          <w:sz w:val="32"/>
        </w:rPr>
      </w:pPr>
      <w:r>
        <w:rPr>
          <w:rFonts w:hint="eastAsia" w:ascii="Times New Roman" w:hAnsi="宋体"/>
          <w:b/>
          <w:sz w:val="32"/>
        </w:rPr>
        <w:t>填报日期：</w:t>
      </w:r>
      <w:r>
        <w:rPr>
          <w:rFonts w:ascii="Times New Roman" w:hAnsi="宋体"/>
          <w:b/>
          <w:sz w:val="32"/>
        </w:rPr>
        <w:t xml:space="preserve">  20</w:t>
      </w:r>
      <w:r>
        <w:rPr>
          <w:rFonts w:hint="eastAsia" w:ascii="Times New Roman" w:hAnsi="宋体"/>
          <w:b/>
          <w:sz w:val="32"/>
          <w:lang w:val="en-US" w:eastAsia="zh-CN"/>
        </w:rPr>
        <w:t>22</w:t>
      </w:r>
      <w:r>
        <w:rPr>
          <w:rFonts w:hint="eastAsia" w:ascii="Times New Roman" w:hAnsi="宋体"/>
          <w:b/>
          <w:sz w:val="32"/>
        </w:rPr>
        <w:t>年</w:t>
      </w:r>
      <w:r>
        <w:rPr>
          <w:rFonts w:hint="eastAsia" w:ascii="Times New Roman" w:hAnsi="宋体"/>
          <w:b/>
          <w:sz w:val="32"/>
          <w:lang w:val="en-US" w:eastAsia="zh-CN"/>
        </w:rPr>
        <w:t>1</w:t>
      </w:r>
      <w:r>
        <w:rPr>
          <w:rFonts w:hint="eastAsia" w:ascii="Times New Roman" w:hAnsi="宋体"/>
          <w:b/>
          <w:sz w:val="32"/>
        </w:rPr>
        <w:t>月</w:t>
      </w:r>
      <w:r>
        <w:rPr>
          <w:rFonts w:hint="eastAsia" w:ascii="Times New Roman" w:hAnsi="宋体"/>
          <w:b/>
          <w:sz w:val="32"/>
          <w:lang w:val="en-US" w:eastAsia="zh-CN"/>
        </w:rPr>
        <w:t>3</w:t>
      </w:r>
      <w:r>
        <w:rPr>
          <w:rFonts w:hint="eastAsia" w:ascii="Times New Roman" w:hAnsi="宋体"/>
          <w:b/>
          <w:sz w:val="32"/>
        </w:rPr>
        <w:t>日</w:t>
      </w:r>
    </w:p>
    <w:p>
      <w:pPr>
        <w:tabs>
          <w:tab w:val="left" w:pos="5940"/>
        </w:tabs>
        <w:spacing w:line="400" w:lineRule="exact"/>
        <w:rPr>
          <w:rFonts w:ascii="Times New Roman" w:hAnsi="Times New Roman"/>
          <w:b/>
          <w:sz w:val="24"/>
        </w:rPr>
      </w:pPr>
    </w:p>
    <w:p>
      <w:pPr>
        <w:tabs>
          <w:tab w:val="left" w:pos="5940"/>
        </w:tabs>
        <w:spacing w:line="400" w:lineRule="exact"/>
        <w:jc w:val="center"/>
        <w:rPr>
          <w:rFonts w:hint="eastAsia" w:ascii="Times New Roman" w:hAnsi="宋体"/>
          <w:b/>
          <w:sz w:val="24"/>
        </w:rPr>
      </w:pPr>
    </w:p>
    <w:p>
      <w:pPr>
        <w:tabs>
          <w:tab w:val="left" w:pos="5940"/>
        </w:tabs>
        <w:spacing w:line="400" w:lineRule="exact"/>
        <w:jc w:val="center"/>
        <w:rPr>
          <w:rFonts w:hint="eastAsia" w:ascii="Times New Roman" w:hAnsi="宋体"/>
          <w:b/>
          <w:sz w:val="24"/>
        </w:rPr>
      </w:pPr>
    </w:p>
    <w:p>
      <w:pPr>
        <w:tabs>
          <w:tab w:val="left" w:pos="5940"/>
        </w:tabs>
        <w:spacing w:line="400" w:lineRule="exact"/>
        <w:jc w:val="center"/>
        <w:rPr>
          <w:rFonts w:ascii="Times New Roman" w:hAnsi="Times New Roman"/>
          <w:sz w:val="28"/>
          <w:szCs w:val="28"/>
        </w:rPr>
        <w:sectPr>
          <w:pgSz w:w="11906" w:h="16838"/>
          <w:pgMar w:top="1440" w:right="1800" w:bottom="1440" w:left="1800" w:header="851" w:footer="992" w:gutter="0"/>
          <w:pgNumType w:start="1"/>
          <w:cols w:space="425" w:num="1"/>
          <w:docGrid w:type="lines" w:linePitch="286" w:charSpace="0"/>
        </w:sectPr>
      </w:pPr>
      <w:r>
        <w:rPr>
          <w:rFonts w:hint="eastAsia" w:ascii="Times New Roman" w:hAnsi="宋体"/>
          <w:b/>
          <w:sz w:val="28"/>
          <w:szCs w:val="28"/>
        </w:rPr>
        <w:t>江苏省环境保护厅制</w:t>
      </w:r>
    </w:p>
    <w:p>
      <w:pPr>
        <w:ind w:right="-794" w:rightChars="-361"/>
        <w:jc w:val="center"/>
        <w:rPr>
          <w:rFonts w:ascii="Times New Roman" w:hAnsi="Times New Roman" w:eastAsia="方正小标宋_GBK"/>
          <w:sz w:val="44"/>
          <w:szCs w:val="44"/>
        </w:rPr>
      </w:pPr>
      <w:r>
        <w:rPr>
          <w:rFonts w:hint="eastAsia" w:ascii="Times New Roman" w:hAnsi="Times New Roman" w:eastAsia="方正小标宋_GBK"/>
          <w:sz w:val="44"/>
          <w:szCs w:val="44"/>
        </w:rPr>
        <w:t>申请者声明</w:t>
      </w:r>
    </w:p>
    <w:p>
      <w:pPr>
        <w:ind w:right="-794" w:rightChars="-361"/>
        <w:jc w:val="center"/>
        <w:rPr>
          <w:rFonts w:ascii="Times New Roman" w:hAnsi="Times New Roman" w:eastAsia="方正小标宋_GBK"/>
          <w:b/>
          <w:sz w:val="44"/>
          <w:szCs w:val="44"/>
        </w:rPr>
      </w:pPr>
    </w:p>
    <w:p>
      <w:pPr>
        <w:spacing w:line="360" w:lineRule="auto"/>
        <w:ind w:left="-220" w:leftChars="-100" w:right="-220" w:rightChars="-100" w:firstLine="640" w:firstLineChars="200"/>
        <w:rPr>
          <w:rFonts w:ascii="Times New Roman" w:hAnsi="Times New Roman" w:eastAsia="方正仿宋_GBK"/>
          <w:sz w:val="32"/>
          <w:szCs w:val="32"/>
        </w:rPr>
      </w:pPr>
      <w:r>
        <w:rPr>
          <w:rFonts w:hint="eastAsia" w:ascii="Times New Roman" w:hAnsi="方正仿宋_GBK" w:eastAsia="方正仿宋_GBK"/>
          <w:sz w:val="32"/>
          <w:szCs w:val="32"/>
        </w:rPr>
        <w:t>我代表申请单位郑重承诺：本实施方案所填资料是完整的和真实的。转移的危险废物名称、类别、代码、数量与实际相符。危险废物接受单位具备相应的处置利用能力和污染防治措施。委托有资质单位进行运输并按照制定的运输路线运输，保证转移的废物均到达接收单位进行安全处置处理，对转移过程中可能产生的环境风险提出合理的控制措施，实行跨省（市）转移网上报告，承担转移全过程监控责任。</w:t>
      </w:r>
    </w:p>
    <w:p>
      <w:pPr>
        <w:ind w:left="-220" w:leftChars="-100" w:right="-220" w:rightChars="-100" w:firstLine="1264"/>
        <w:rPr>
          <w:rFonts w:ascii="Times New Roman" w:hAnsi="Times New Roman" w:eastAsia="方正仿宋_GBK"/>
          <w:sz w:val="36"/>
          <w:szCs w:val="36"/>
        </w:rPr>
      </w:pPr>
    </w:p>
    <w:p>
      <w:pPr>
        <w:ind w:left="-220" w:leftChars="-100" w:right="-220" w:rightChars="-100" w:firstLine="1264"/>
        <w:rPr>
          <w:rFonts w:ascii="Times New Roman" w:hAnsi="Times New Roman" w:eastAsia="方正仿宋_GBK"/>
          <w:sz w:val="36"/>
          <w:szCs w:val="36"/>
        </w:rPr>
      </w:pPr>
    </w:p>
    <w:p>
      <w:pPr>
        <w:ind w:left="-220" w:leftChars="-100" w:right="-220" w:rightChars="-100" w:firstLine="1264"/>
        <w:rPr>
          <w:rFonts w:ascii="Times New Roman" w:hAnsi="Times New Roman" w:eastAsia="方正仿宋_GBK"/>
          <w:sz w:val="36"/>
          <w:szCs w:val="36"/>
        </w:rPr>
      </w:pPr>
    </w:p>
    <w:p>
      <w:pPr>
        <w:ind w:left="-220" w:leftChars="-100" w:right="-220" w:rightChars="-100" w:firstLine="1264"/>
        <w:rPr>
          <w:rFonts w:ascii="Times New Roman" w:hAnsi="Times New Roman" w:eastAsia="方正仿宋_GBK"/>
          <w:sz w:val="36"/>
          <w:szCs w:val="36"/>
        </w:rPr>
      </w:pPr>
    </w:p>
    <w:p>
      <w:pPr>
        <w:ind w:left="-220" w:leftChars="-100" w:right="-220" w:rightChars="-100" w:firstLine="1264"/>
        <w:jc w:val="center"/>
        <w:rPr>
          <w:rFonts w:ascii="Times New Roman" w:hAnsi="方正仿宋_GBK" w:eastAsia="方正仿宋_GBK"/>
          <w:sz w:val="32"/>
          <w:szCs w:val="32"/>
        </w:rPr>
      </w:pPr>
      <w:r>
        <w:rPr>
          <w:rFonts w:hint="eastAsia" w:ascii="Times New Roman" w:hAnsi="方正仿宋_GBK" w:eastAsia="方正仿宋_GBK"/>
          <w:sz w:val="32"/>
          <w:szCs w:val="32"/>
        </w:rPr>
        <w:t>法人代表签字：</w:t>
      </w:r>
    </w:p>
    <w:p>
      <w:pPr>
        <w:ind w:left="-220" w:leftChars="-100" w:right="-220" w:rightChars="-100" w:firstLine="1264"/>
        <w:jc w:val="center"/>
        <w:rPr>
          <w:rFonts w:ascii="Times New Roman" w:hAnsi="方正仿宋_GBK" w:eastAsia="方正仿宋_GBK"/>
          <w:sz w:val="32"/>
          <w:szCs w:val="32"/>
        </w:rPr>
      </w:pPr>
    </w:p>
    <w:p>
      <w:pPr>
        <w:ind w:left="-220" w:leftChars="-100" w:right="-220" w:rightChars="-100" w:firstLine="1264"/>
        <w:jc w:val="center"/>
        <w:rPr>
          <w:rFonts w:ascii="Times New Roman" w:hAnsi="Times New Roman" w:eastAsia="方正仿宋_GBK"/>
          <w:sz w:val="32"/>
          <w:szCs w:val="32"/>
        </w:rPr>
      </w:pPr>
    </w:p>
    <w:p>
      <w:pPr>
        <w:ind w:left="-220" w:leftChars="-100" w:right="-220" w:rightChars="-100" w:firstLine="1264"/>
        <w:jc w:val="center"/>
        <w:rPr>
          <w:rFonts w:ascii="Times New Roman" w:hAnsi="Times New Roman"/>
          <w:sz w:val="36"/>
          <w:szCs w:val="36"/>
        </w:rPr>
      </w:pPr>
      <w:r>
        <w:rPr>
          <w:rFonts w:ascii="Times New Roman" w:hAnsi="Times New Roman" w:eastAsia="方正仿宋_GBK"/>
          <w:sz w:val="32"/>
          <w:szCs w:val="32"/>
        </w:rPr>
        <w:t xml:space="preserve">  20</w:t>
      </w:r>
      <w:r>
        <w:rPr>
          <w:rFonts w:hint="eastAsia" w:ascii="Times New Roman" w:hAnsi="Times New Roman" w:eastAsia="方正仿宋_GBK"/>
          <w:sz w:val="32"/>
          <w:szCs w:val="32"/>
          <w:lang w:val="en-US" w:eastAsia="zh-CN"/>
        </w:rPr>
        <w:t>22</w:t>
      </w:r>
      <w:r>
        <w:rPr>
          <w:rFonts w:hint="eastAsia" w:ascii="Times New Roman" w:hAnsi="方正仿宋_GBK" w:eastAsia="方正仿宋_GBK"/>
          <w:sz w:val="32"/>
          <w:szCs w:val="32"/>
        </w:rPr>
        <w:t>年</w:t>
      </w:r>
      <w:r>
        <w:rPr>
          <w:rFonts w:hint="eastAsia" w:ascii="Times New Roman" w:hAnsi="方正仿宋_GBK" w:eastAsia="方正仿宋_GBK"/>
          <w:sz w:val="32"/>
          <w:szCs w:val="32"/>
          <w:lang w:val="en-US" w:eastAsia="zh-CN"/>
        </w:rPr>
        <w:t>1</w:t>
      </w:r>
      <w:r>
        <w:rPr>
          <w:rFonts w:hint="eastAsia" w:ascii="Times New Roman" w:hAnsi="方正仿宋_GBK" w:eastAsia="方正仿宋_GBK"/>
          <w:sz w:val="32"/>
          <w:szCs w:val="32"/>
        </w:rPr>
        <w:t>月</w:t>
      </w:r>
      <w:r>
        <w:rPr>
          <w:rFonts w:hint="eastAsia" w:ascii="Times New Roman" w:hAnsi="方正仿宋_GBK" w:eastAsia="方正仿宋_GBK"/>
          <w:sz w:val="32"/>
          <w:szCs w:val="32"/>
          <w:lang w:val="en-US" w:eastAsia="zh-CN"/>
        </w:rPr>
        <w:t>3</w:t>
      </w:r>
      <w:r>
        <w:rPr>
          <w:rFonts w:hint="eastAsia" w:ascii="Times New Roman" w:hAnsi="方正仿宋_GBK" w:eastAsia="方正仿宋_GBK"/>
          <w:sz w:val="32"/>
          <w:szCs w:val="32"/>
        </w:rPr>
        <w:t>日</w:t>
      </w:r>
    </w:p>
    <w:p>
      <w:pPr>
        <w:ind w:left="-220" w:leftChars="-100" w:right="-220" w:rightChars="-100" w:firstLine="1264"/>
        <w:jc w:val="center"/>
        <w:rPr>
          <w:rFonts w:ascii="Times New Roman" w:hAnsi="Times New Roman"/>
          <w:sz w:val="36"/>
          <w:szCs w:val="36"/>
        </w:rPr>
      </w:pPr>
    </w:p>
    <w:p>
      <w:pPr>
        <w:ind w:left="-741" w:leftChars="-337" w:right="-794" w:rightChars="-361" w:firstLine="1264"/>
        <w:rPr>
          <w:rFonts w:ascii="Times New Roman" w:hAnsi="Times New Roman"/>
          <w:sz w:val="36"/>
          <w:szCs w:val="36"/>
        </w:rPr>
      </w:pPr>
    </w:p>
    <w:p>
      <w:pPr>
        <w:ind w:left="-741" w:leftChars="-337" w:right="-794" w:rightChars="-361" w:firstLine="1264"/>
        <w:rPr>
          <w:rFonts w:ascii="Times New Roman" w:hAnsi="Times New Roman"/>
          <w:sz w:val="36"/>
          <w:szCs w:val="36"/>
        </w:rPr>
      </w:pPr>
    </w:p>
    <w:p>
      <w:pPr>
        <w:ind w:left="-741" w:leftChars="-337" w:right="-794" w:rightChars="-361" w:firstLine="1264"/>
        <w:rPr>
          <w:rFonts w:ascii="Times New Roman" w:hAnsi="Times New Roman"/>
          <w:sz w:val="36"/>
          <w:szCs w:val="36"/>
        </w:rPr>
      </w:pPr>
    </w:p>
    <w:p>
      <w:pPr>
        <w:rPr>
          <w:rFonts w:ascii="Times New Roman" w:eastAsia="黑体"/>
          <w:sz w:val="28"/>
          <w:szCs w:val="28"/>
        </w:rPr>
      </w:pPr>
    </w:p>
    <w:p>
      <w:pPr>
        <w:rPr>
          <w:rFonts w:ascii="Times New Roman" w:hAnsi="Times New Roman" w:eastAsia="黑体"/>
          <w:sz w:val="28"/>
          <w:szCs w:val="28"/>
        </w:rPr>
      </w:pPr>
      <w:r>
        <w:rPr>
          <w:rFonts w:hint="eastAsia" w:ascii="Times New Roman" w:eastAsia="黑体"/>
          <w:sz w:val="28"/>
          <w:szCs w:val="28"/>
        </w:rPr>
        <w:t>第一部分：拟转移废物基本情况</w:t>
      </w:r>
    </w:p>
    <w:tbl>
      <w:tblPr>
        <w:tblStyle w:val="6"/>
        <w:tblW w:w="9905"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5"/>
        <w:gridCol w:w="2224"/>
        <w:gridCol w:w="1465"/>
        <w:gridCol w:w="2611"/>
        <w:gridCol w:w="1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trPr>
        <w:tc>
          <w:tcPr>
            <w:tcW w:w="9905" w:type="dxa"/>
            <w:gridSpan w:val="5"/>
            <w:vAlign w:val="center"/>
          </w:tcPr>
          <w:p>
            <w:pPr>
              <w:jc w:val="center"/>
              <w:rPr>
                <w:rFonts w:ascii="Times New Roman" w:hAnsi="Times New Roman" w:eastAsia="黑体"/>
                <w:sz w:val="24"/>
                <w:szCs w:val="24"/>
              </w:rPr>
            </w:pPr>
            <w:r>
              <w:rPr>
                <w:rFonts w:hint="eastAsia" w:ascii="Times New Roman" w:eastAsia="黑体"/>
                <w:sz w:val="24"/>
                <w:szCs w:val="24"/>
              </w:rPr>
              <w:t>表</w:t>
            </w:r>
            <w:r>
              <w:rPr>
                <w:rFonts w:ascii="Times New Roman" w:hAnsi="Times New Roman" w:eastAsia="黑体"/>
                <w:sz w:val="24"/>
                <w:szCs w:val="24"/>
              </w:rPr>
              <w:t xml:space="preserve">1 </w:t>
            </w:r>
            <w:r>
              <w:rPr>
                <w:rFonts w:hint="eastAsia" w:ascii="Times New Roman" w:eastAsia="黑体"/>
                <w:sz w:val="24"/>
                <w:szCs w:val="24"/>
              </w:rPr>
              <w:t>废物产生情况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6" w:hRule="atLeast"/>
        </w:trPr>
        <w:tc>
          <w:tcPr>
            <w:tcW w:w="9905" w:type="dxa"/>
            <w:gridSpan w:val="5"/>
          </w:tcPr>
          <w:p>
            <w:pPr>
              <w:spacing w:line="300" w:lineRule="exact"/>
              <w:jc w:val="center"/>
              <w:rPr>
                <w:rFonts w:ascii="Times New Roman"/>
                <w:szCs w:val="21"/>
              </w:rPr>
            </w:pPr>
            <w:r>
              <w:rPr>
                <w:rFonts w:hint="eastAsia" w:ascii="Times New Roman"/>
                <w:szCs w:val="21"/>
              </w:rPr>
              <w:t>废物产生企业概况（企业投产时间、主要经营范围及规模）</w:t>
            </w:r>
          </w:p>
          <w:p>
            <w:pPr>
              <w:spacing w:line="300" w:lineRule="exact"/>
              <w:rPr>
                <w:rFonts w:hint="eastAsia" w:ascii="Times New Roman" w:hAnsi="Times New Roman" w:eastAsia="宋体"/>
                <w:szCs w:val="21"/>
                <w:lang w:eastAsia="zh-CN"/>
              </w:rPr>
            </w:pPr>
            <w:r>
              <w:rPr>
                <w:rFonts w:hint="eastAsia" w:ascii="宋体" w:hAnsi="宋体" w:eastAsia="宋体" w:cs="宋体"/>
                <w:i w:val="0"/>
                <w:iCs w:val="0"/>
                <w:caps w:val="0"/>
                <w:color w:val="666666"/>
                <w:spacing w:val="0"/>
                <w:sz w:val="24"/>
                <w:szCs w:val="24"/>
                <w:shd w:val="clear" w:fill="FFFFFF"/>
              </w:rPr>
              <w:t>江苏九洲包装科技有限公司成立于</w:t>
            </w:r>
            <w:r>
              <w:rPr>
                <w:rFonts w:hint="default" w:ascii="Times New Roman" w:hAnsi="Times New Roman" w:eastAsia="宋体" w:cs="Times New Roman"/>
                <w:i w:val="0"/>
                <w:iCs w:val="0"/>
                <w:caps w:val="0"/>
                <w:color w:val="666666"/>
                <w:spacing w:val="0"/>
                <w:sz w:val="24"/>
                <w:szCs w:val="24"/>
                <w:shd w:val="clear" w:fill="FFFFFF"/>
              </w:rPr>
              <w:t>2005</w:t>
            </w:r>
            <w:r>
              <w:rPr>
                <w:rFonts w:hint="eastAsia" w:ascii="宋体" w:hAnsi="宋体" w:eastAsia="宋体" w:cs="宋体"/>
                <w:i w:val="0"/>
                <w:iCs w:val="0"/>
                <w:caps w:val="0"/>
                <w:color w:val="666666"/>
                <w:spacing w:val="0"/>
                <w:sz w:val="24"/>
                <w:szCs w:val="24"/>
                <w:shd w:val="clear" w:fill="FFFFFF"/>
              </w:rPr>
              <w:t>年</w:t>
            </w:r>
            <w:r>
              <w:rPr>
                <w:rFonts w:hint="eastAsia" w:ascii="宋体" w:hAnsi="宋体" w:eastAsia="宋体" w:cs="宋体"/>
                <w:i w:val="0"/>
                <w:iCs w:val="0"/>
                <w:caps w:val="0"/>
                <w:color w:val="666666"/>
                <w:spacing w:val="0"/>
                <w:sz w:val="24"/>
                <w:szCs w:val="24"/>
                <w:shd w:val="clear" w:fill="FFFFFF"/>
                <w:lang w:val="en-US" w:eastAsia="zh-CN"/>
              </w:rPr>
              <w:t>1</w:t>
            </w:r>
            <w:r>
              <w:rPr>
                <w:rFonts w:hint="default" w:ascii="Times New Roman" w:hAnsi="Times New Roman" w:eastAsia="宋体" w:cs="Times New Roman"/>
                <w:i w:val="0"/>
                <w:iCs w:val="0"/>
                <w:caps w:val="0"/>
                <w:color w:val="666666"/>
                <w:spacing w:val="0"/>
                <w:sz w:val="24"/>
                <w:szCs w:val="24"/>
                <w:shd w:val="clear" w:fill="FFFFFF"/>
              </w:rPr>
              <w:t>1</w:t>
            </w:r>
            <w:r>
              <w:rPr>
                <w:rFonts w:hint="eastAsia" w:ascii="宋体" w:hAnsi="宋体" w:eastAsia="宋体" w:cs="宋体"/>
                <w:i w:val="0"/>
                <w:iCs w:val="0"/>
                <w:caps w:val="0"/>
                <w:color w:val="666666"/>
                <w:spacing w:val="0"/>
                <w:sz w:val="24"/>
                <w:szCs w:val="24"/>
                <w:shd w:val="clear" w:fill="FFFFFF"/>
              </w:rPr>
              <w:t>月，</w:t>
            </w:r>
            <w:r>
              <w:rPr>
                <w:rFonts w:hint="eastAsia" w:ascii="宋体" w:hAnsi="宋体" w:eastAsia="宋体" w:cs="宋体"/>
                <w:i w:val="0"/>
                <w:iCs w:val="0"/>
                <w:caps w:val="0"/>
                <w:color w:val="666666"/>
                <w:spacing w:val="0"/>
                <w:sz w:val="24"/>
                <w:szCs w:val="24"/>
                <w:shd w:val="clear" w:fill="FFFFFF"/>
                <w:lang w:eastAsia="zh-CN"/>
              </w:rPr>
              <w:t>具备</w:t>
            </w:r>
            <w:r>
              <w:rPr>
                <w:rFonts w:hint="default" w:ascii="Times New Roman" w:hAnsi="Times New Roman" w:eastAsia="宋体" w:cs="Times New Roman"/>
                <w:i w:val="0"/>
                <w:iCs w:val="0"/>
                <w:caps w:val="0"/>
                <w:color w:val="666666"/>
                <w:spacing w:val="0"/>
                <w:sz w:val="24"/>
                <w:szCs w:val="24"/>
                <w:shd w:val="clear" w:fill="FFFFFF"/>
              </w:rPr>
              <w:t>“</w:t>
            </w:r>
            <w:r>
              <w:rPr>
                <w:rFonts w:hint="eastAsia" w:ascii="宋体" w:hAnsi="宋体" w:eastAsia="宋体" w:cs="宋体"/>
                <w:i w:val="0"/>
                <w:iCs w:val="0"/>
                <w:caps w:val="0"/>
                <w:color w:val="666666"/>
                <w:spacing w:val="0"/>
                <w:sz w:val="24"/>
                <w:szCs w:val="24"/>
                <w:shd w:val="clear" w:fill="FFFFFF"/>
              </w:rPr>
              <w:t>年产涂层薄板、特种带钢深加工</w:t>
            </w:r>
            <w:r>
              <w:rPr>
                <w:rFonts w:hint="eastAsia" w:ascii="宋体" w:hAnsi="宋体" w:eastAsia="宋体" w:cs="宋体"/>
                <w:i w:val="0"/>
                <w:iCs w:val="0"/>
                <w:caps w:val="0"/>
                <w:color w:val="666666"/>
                <w:spacing w:val="0"/>
                <w:sz w:val="24"/>
                <w:szCs w:val="24"/>
                <w:shd w:val="clear" w:fill="FFFFFF"/>
                <w:lang w:val="en-US" w:eastAsia="zh-CN"/>
              </w:rPr>
              <w:t>1</w:t>
            </w:r>
            <w:r>
              <w:rPr>
                <w:rFonts w:hint="default" w:ascii="Times New Roman" w:hAnsi="Times New Roman" w:eastAsia="宋体" w:cs="Times New Roman"/>
                <w:i w:val="0"/>
                <w:iCs w:val="0"/>
                <w:caps w:val="0"/>
                <w:color w:val="666666"/>
                <w:spacing w:val="0"/>
                <w:sz w:val="24"/>
                <w:szCs w:val="24"/>
                <w:shd w:val="clear" w:fill="FFFFFF"/>
              </w:rPr>
              <w:t>5</w:t>
            </w:r>
            <w:r>
              <w:rPr>
                <w:rFonts w:hint="eastAsia" w:ascii="宋体" w:hAnsi="宋体" w:eastAsia="宋体" w:cs="宋体"/>
                <w:i w:val="0"/>
                <w:iCs w:val="0"/>
                <w:caps w:val="0"/>
                <w:color w:val="666666"/>
                <w:spacing w:val="0"/>
                <w:sz w:val="24"/>
                <w:szCs w:val="24"/>
                <w:shd w:val="clear" w:fill="FFFFFF"/>
              </w:rPr>
              <w:t>万吨</w:t>
            </w:r>
            <w:r>
              <w:rPr>
                <w:rFonts w:hint="default" w:ascii="Times New Roman" w:hAnsi="Times New Roman" w:eastAsia="宋体" w:cs="Times New Roman"/>
                <w:i w:val="0"/>
                <w:iCs w:val="0"/>
                <w:caps w:val="0"/>
                <w:color w:val="666666"/>
                <w:spacing w:val="0"/>
                <w:sz w:val="24"/>
                <w:szCs w:val="24"/>
                <w:shd w:val="clear" w:fill="FFFFFF"/>
              </w:rPr>
              <w:t>”</w:t>
            </w:r>
            <w:r>
              <w:rPr>
                <w:rFonts w:hint="eastAsia" w:ascii="宋体" w:hAnsi="宋体" w:eastAsia="宋体" w:cs="宋体"/>
                <w:i w:val="0"/>
                <w:iCs w:val="0"/>
                <w:caps w:val="0"/>
                <w:color w:val="666666"/>
                <w:spacing w:val="0"/>
                <w:sz w:val="24"/>
                <w:szCs w:val="24"/>
                <w:shd w:val="clear" w:fill="FFFFFF"/>
              </w:rPr>
              <w:t>项目，形成年产包装桶</w:t>
            </w:r>
            <w:r>
              <w:rPr>
                <w:rFonts w:hint="default" w:ascii="Times New Roman" w:hAnsi="Times New Roman" w:eastAsia="宋体" w:cs="Times New Roman"/>
                <w:i w:val="0"/>
                <w:iCs w:val="0"/>
                <w:caps w:val="0"/>
                <w:color w:val="666666"/>
                <w:spacing w:val="0"/>
                <w:sz w:val="24"/>
                <w:szCs w:val="24"/>
                <w:shd w:val="clear" w:fill="FFFFFF"/>
              </w:rPr>
              <w:t>800</w:t>
            </w:r>
            <w:r>
              <w:rPr>
                <w:rFonts w:hint="eastAsia" w:ascii="宋体" w:hAnsi="宋体" w:eastAsia="宋体" w:cs="宋体"/>
                <w:i w:val="0"/>
                <w:iCs w:val="0"/>
                <w:caps w:val="0"/>
                <w:color w:val="666666"/>
                <w:spacing w:val="0"/>
                <w:sz w:val="24"/>
                <w:szCs w:val="24"/>
                <w:shd w:val="clear" w:fill="FFFFFF"/>
              </w:rPr>
              <w:t>万只的生产能力</w:t>
            </w:r>
            <w:r>
              <w:rPr>
                <w:rFonts w:hint="eastAsia" w:ascii="宋体" w:hAnsi="宋体" w:eastAsia="宋体" w:cs="宋体"/>
                <w:i w:val="0"/>
                <w:iCs w:val="0"/>
                <w:caps w:val="0"/>
                <w:color w:val="666666"/>
                <w:spacing w:val="0"/>
                <w:sz w:val="24"/>
                <w:szCs w:val="24"/>
                <w:shd w:val="clear"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9905" w:type="dxa"/>
            <w:gridSpan w:val="5"/>
            <w:vAlign w:val="center"/>
          </w:tcPr>
          <w:p>
            <w:pPr>
              <w:spacing w:line="300" w:lineRule="exact"/>
              <w:jc w:val="center"/>
              <w:rPr>
                <w:rFonts w:ascii="Times New Roman" w:hAnsi="Times New Roman"/>
                <w:szCs w:val="21"/>
              </w:rPr>
            </w:pPr>
            <w:r>
              <w:rPr>
                <w:rFonts w:hint="eastAsia" w:ascii="Times New Roman"/>
                <w:szCs w:val="21"/>
              </w:rPr>
              <w:t>产品及产废情况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5334" w:type="dxa"/>
            <w:gridSpan w:val="3"/>
            <w:vAlign w:val="center"/>
          </w:tcPr>
          <w:p>
            <w:pPr>
              <w:spacing w:line="300" w:lineRule="exact"/>
              <w:jc w:val="center"/>
              <w:rPr>
                <w:rFonts w:ascii="Times New Roman" w:hAnsi="Times New Roman"/>
                <w:szCs w:val="21"/>
              </w:rPr>
            </w:pPr>
            <w:r>
              <w:rPr>
                <w:rFonts w:hint="eastAsia" w:ascii="Times New Roman"/>
                <w:szCs w:val="21"/>
              </w:rPr>
              <w:t>产品情况</w:t>
            </w:r>
          </w:p>
        </w:tc>
        <w:tc>
          <w:tcPr>
            <w:tcW w:w="4571" w:type="dxa"/>
            <w:gridSpan w:val="2"/>
            <w:vAlign w:val="center"/>
          </w:tcPr>
          <w:p>
            <w:pPr>
              <w:spacing w:line="300" w:lineRule="exact"/>
              <w:jc w:val="center"/>
              <w:rPr>
                <w:rFonts w:ascii="Times New Roman" w:hAnsi="Times New Roman"/>
                <w:szCs w:val="21"/>
              </w:rPr>
            </w:pPr>
            <w:r>
              <w:rPr>
                <w:rFonts w:hint="eastAsia" w:ascii="Times New Roman"/>
                <w:szCs w:val="21"/>
              </w:rPr>
              <w:t>产生危险废物情况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645" w:type="dxa"/>
            <w:vAlign w:val="center"/>
          </w:tcPr>
          <w:p>
            <w:pPr>
              <w:spacing w:line="300" w:lineRule="exact"/>
              <w:jc w:val="center"/>
              <w:rPr>
                <w:rFonts w:ascii="Times New Roman" w:hAnsi="Times New Roman"/>
                <w:szCs w:val="21"/>
              </w:rPr>
            </w:pPr>
            <w:r>
              <w:rPr>
                <w:rFonts w:hint="eastAsia" w:ascii="Times New Roman"/>
                <w:szCs w:val="21"/>
              </w:rPr>
              <w:t>产品名称</w:t>
            </w:r>
          </w:p>
        </w:tc>
        <w:tc>
          <w:tcPr>
            <w:tcW w:w="2224" w:type="dxa"/>
            <w:vAlign w:val="center"/>
          </w:tcPr>
          <w:p>
            <w:pPr>
              <w:spacing w:line="300" w:lineRule="exact"/>
              <w:jc w:val="center"/>
              <w:rPr>
                <w:rFonts w:ascii="Times New Roman" w:hAnsi="Times New Roman"/>
                <w:szCs w:val="21"/>
              </w:rPr>
            </w:pPr>
            <w:r>
              <w:rPr>
                <w:rFonts w:hint="eastAsia" w:ascii="Times New Roman"/>
                <w:szCs w:val="21"/>
              </w:rPr>
              <w:t>主要成分化学名</w:t>
            </w:r>
          </w:p>
        </w:tc>
        <w:tc>
          <w:tcPr>
            <w:tcW w:w="1465" w:type="dxa"/>
            <w:vAlign w:val="center"/>
          </w:tcPr>
          <w:p>
            <w:pPr>
              <w:spacing w:line="300" w:lineRule="exact"/>
              <w:jc w:val="center"/>
              <w:rPr>
                <w:rFonts w:ascii="Times New Roman" w:hAnsi="Times New Roman"/>
                <w:szCs w:val="21"/>
              </w:rPr>
            </w:pPr>
            <w:r>
              <w:rPr>
                <w:rFonts w:hint="eastAsia" w:ascii="Times New Roman"/>
                <w:szCs w:val="21"/>
              </w:rPr>
              <w:t>年产量</w:t>
            </w:r>
          </w:p>
        </w:tc>
        <w:tc>
          <w:tcPr>
            <w:tcW w:w="2611" w:type="dxa"/>
            <w:vAlign w:val="center"/>
          </w:tcPr>
          <w:p>
            <w:pPr>
              <w:spacing w:line="300" w:lineRule="exact"/>
              <w:jc w:val="center"/>
              <w:rPr>
                <w:rFonts w:ascii="Times New Roman" w:hAnsi="Times New Roman"/>
                <w:szCs w:val="21"/>
              </w:rPr>
            </w:pPr>
            <w:r>
              <w:rPr>
                <w:rFonts w:hint="eastAsia" w:ascii="Times New Roman"/>
                <w:szCs w:val="21"/>
              </w:rPr>
              <w:t>废物名称</w:t>
            </w:r>
          </w:p>
        </w:tc>
        <w:tc>
          <w:tcPr>
            <w:tcW w:w="1960" w:type="dxa"/>
            <w:vAlign w:val="center"/>
          </w:tcPr>
          <w:p>
            <w:pPr>
              <w:spacing w:line="300" w:lineRule="exact"/>
              <w:jc w:val="center"/>
              <w:rPr>
                <w:rFonts w:ascii="Times New Roman" w:hAnsi="Times New Roman"/>
                <w:szCs w:val="21"/>
              </w:rPr>
            </w:pPr>
            <w:r>
              <w:rPr>
                <w:rFonts w:hint="eastAsia" w:ascii="Times New Roman"/>
                <w:szCs w:val="21"/>
              </w:rPr>
              <w:t>年产生量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trPr>
        <w:tc>
          <w:tcPr>
            <w:tcW w:w="1645" w:type="dxa"/>
            <w:vMerge w:val="restart"/>
          </w:tcPr>
          <w:p>
            <w:pPr>
              <w:spacing w:line="300" w:lineRule="exact"/>
              <w:jc w:val="both"/>
              <w:rPr>
                <w:rFonts w:hint="default" w:ascii="Times New Roman" w:hAnsi="Times New Roman" w:eastAsia="微软雅黑"/>
                <w:szCs w:val="24"/>
                <w:lang w:val="en-US" w:eastAsia="zh-CN"/>
              </w:rPr>
            </w:pPr>
            <w:r>
              <w:rPr>
                <w:rFonts w:hint="eastAsia" w:ascii="Times New Roman" w:hAnsi="Times New Roman"/>
                <w:szCs w:val="24"/>
                <w:lang w:val="en-US" w:eastAsia="zh-CN"/>
              </w:rPr>
              <w:t>马口铁</w:t>
            </w:r>
          </w:p>
        </w:tc>
        <w:tc>
          <w:tcPr>
            <w:tcW w:w="2224" w:type="dxa"/>
            <w:vMerge w:val="restart"/>
          </w:tcPr>
          <w:p>
            <w:pPr>
              <w:spacing w:line="300" w:lineRule="exact"/>
              <w:jc w:val="both"/>
              <w:rPr>
                <w:rFonts w:hint="eastAsia" w:ascii="Times New Roman" w:hAnsi="Times New Roman" w:eastAsia="微软雅黑"/>
                <w:szCs w:val="24"/>
                <w:lang w:eastAsia="zh-CN"/>
              </w:rPr>
            </w:pPr>
            <w:r>
              <w:rPr>
                <w:rFonts w:hint="eastAsia" w:ascii="Times New Roman" w:hAnsi="Times New Roman"/>
                <w:szCs w:val="24"/>
                <w:lang w:val="en-US" w:eastAsia="zh-CN"/>
              </w:rPr>
              <w:t>铁</w:t>
            </w:r>
          </w:p>
        </w:tc>
        <w:tc>
          <w:tcPr>
            <w:tcW w:w="1465" w:type="dxa"/>
            <w:vMerge w:val="restart"/>
          </w:tcPr>
          <w:p>
            <w:pPr>
              <w:spacing w:line="300" w:lineRule="exact"/>
              <w:jc w:val="both"/>
              <w:rPr>
                <w:rFonts w:ascii="Times New Roman" w:hAnsi="Times New Roman"/>
                <w:szCs w:val="24"/>
              </w:rPr>
            </w:pPr>
            <w:r>
              <w:rPr>
                <w:rFonts w:hint="eastAsia" w:ascii="Times New Roman" w:hAnsi="Times New Roman"/>
                <w:szCs w:val="24"/>
                <w:lang w:val="en-US" w:eastAsia="zh-CN"/>
              </w:rPr>
              <w:t>15万</w:t>
            </w:r>
            <w:r>
              <w:rPr>
                <w:rFonts w:hint="eastAsia" w:ascii="Times New Roman" w:hAnsi="Times New Roman"/>
                <w:szCs w:val="24"/>
              </w:rPr>
              <w:t>吨</w:t>
            </w:r>
          </w:p>
        </w:tc>
        <w:tc>
          <w:tcPr>
            <w:tcW w:w="2611" w:type="dxa"/>
            <w:vAlign w:val="center"/>
          </w:tcPr>
          <w:p>
            <w:pPr>
              <w:spacing w:line="240" w:lineRule="atLeast"/>
              <w:jc w:val="center"/>
              <w:rPr>
                <w:rFonts w:hint="eastAsia" w:ascii="宋体" w:eastAsia="微软雅黑"/>
                <w:sz w:val="18"/>
                <w:szCs w:val="18"/>
                <w:lang w:eastAsia="zh-CN"/>
              </w:rPr>
            </w:pPr>
            <w:r>
              <w:rPr>
                <w:rFonts w:hint="eastAsia" w:ascii="宋体"/>
                <w:sz w:val="18"/>
                <w:szCs w:val="18"/>
                <w:lang w:eastAsia="zh-CN"/>
              </w:rPr>
              <w:t>一般废水污泥</w:t>
            </w:r>
          </w:p>
        </w:tc>
        <w:tc>
          <w:tcPr>
            <w:tcW w:w="1960" w:type="dxa"/>
            <w:vAlign w:val="center"/>
          </w:tcPr>
          <w:p>
            <w:pPr>
              <w:spacing w:line="240" w:lineRule="atLeast"/>
              <w:jc w:val="center"/>
              <w:rPr>
                <w:sz w:val="18"/>
                <w:szCs w:val="18"/>
              </w:rPr>
            </w:pPr>
            <w:r>
              <w:rPr>
                <w:rFonts w:hint="eastAsia"/>
                <w:sz w:val="18"/>
                <w:szCs w:val="18"/>
                <w:lang w:val="en-US" w:eastAsia="zh-CN"/>
              </w:rPr>
              <w:t>600</w:t>
            </w:r>
            <w:r>
              <w:rPr>
                <w:rFonts w:hint="eastAsia"/>
                <w:sz w:val="18"/>
                <w:szCs w:val="18"/>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trPr>
        <w:tc>
          <w:tcPr>
            <w:tcW w:w="1645" w:type="dxa"/>
            <w:vMerge w:val="continue"/>
            <w:vAlign w:val="center"/>
          </w:tcPr>
          <w:p>
            <w:pPr>
              <w:spacing w:line="300" w:lineRule="exact"/>
              <w:jc w:val="center"/>
              <w:rPr>
                <w:rFonts w:ascii="Times New Roman" w:hAnsi="Times New Roman"/>
                <w:szCs w:val="24"/>
              </w:rPr>
            </w:pPr>
          </w:p>
        </w:tc>
        <w:tc>
          <w:tcPr>
            <w:tcW w:w="2224" w:type="dxa"/>
            <w:vMerge w:val="continue"/>
            <w:vAlign w:val="center"/>
          </w:tcPr>
          <w:p>
            <w:pPr>
              <w:spacing w:line="300" w:lineRule="exact"/>
              <w:jc w:val="center"/>
              <w:rPr>
                <w:rFonts w:ascii="Times New Roman" w:hAnsi="Times New Roman"/>
                <w:szCs w:val="24"/>
              </w:rPr>
            </w:pPr>
          </w:p>
        </w:tc>
        <w:tc>
          <w:tcPr>
            <w:tcW w:w="1465" w:type="dxa"/>
            <w:vMerge w:val="continue"/>
            <w:vAlign w:val="center"/>
          </w:tcPr>
          <w:p>
            <w:pPr>
              <w:spacing w:line="300" w:lineRule="exact"/>
              <w:jc w:val="center"/>
              <w:rPr>
                <w:rFonts w:ascii="Times New Roman" w:hAnsi="Times New Roman"/>
                <w:szCs w:val="24"/>
              </w:rPr>
            </w:pPr>
          </w:p>
        </w:tc>
        <w:tc>
          <w:tcPr>
            <w:tcW w:w="2611" w:type="dxa"/>
            <w:vAlign w:val="center"/>
          </w:tcPr>
          <w:p>
            <w:pPr>
              <w:spacing w:line="240" w:lineRule="atLeast"/>
              <w:jc w:val="center"/>
              <w:rPr>
                <w:rFonts w:ascii="宋体"/>
                <w:sz w:val="18"/>
                <w:szCs w:val="18"/>
              </w:rPr>
            </w:pPr>
          </w:p>
        </w:tc>
        <w:tc>
          <w:tcPr>
            <w:tcW w:w="1960" w:type="dxa"/>
            <w:vAlign w:val="center"/>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trPr>
        <w:tc>
          <w:tcPr>
            <w:tcW w:w="1645" w:type="dxa"/>
            <w:vMerge w:val="continue"/>
            <w:vAlign w:val="center"/>
          </w:tcPr>
          <w:p>
            <w:pPr>
              <w:spacing w:line="300" w:lineRule="exact"/>
              <w:jc w:val="center"/>
              <w:rPr>
                <w:rFonts w:ascii="Times New Roman" w:hAnsi="Times New Roman"/>
                <w:szCs w:val="24"/>
              </w:rPr>
            </w:pPr>
          </w:p>
        </w:tc>
        <w:tc>
          <w:tcPr>
            <w:tcW w:w="2224" w:type="dxa"/>
            <w:vMerge w:val="continue"/>
            <w:vAlign w:val="center"/>
          </w:tcPr>
          <w:p>
            <w:pPr>
              <w:spacing w:line="300" w:lineRule="exact"/>
              <w:jc w:val="center"/>
              <w:rPr>
                <w:rFonts w:ascii="Times New Roman" w:hAnsi="Times New Roman"/>
                <w:szCs w:val="24"/>
              </w:rPr>
            </w:pPr>
          </w:p>
        </w:tc>
        <w:tc>
          <w:tcPr>
            <w:tcW w:w="1465" w:type="dxa"/>
            <w:vMerge w:val="continue"/>
            <w:vAlign w:val="center"/>
          </w:tcPr>
          <w:p>
            <w:pPr>
              <w:spacing w:line="300" w:lineRule="exact"/>
              <w:jc w:val="center"/>
              <w:rPr>
                <w:rFonts w:ascii="Times New Roman" w:hAnsi="Times New Roman"/>
                <w:szCs w:val="24"/>
              </w:rPr>
            </w:pPr>
          </w:p>
        </w:tc>
        <w:tc>
          <w:tcPr>
            <w:tcW w:w="2611" w:type="dxa"/>
            <w:vAlign w:val="center"/>
          </w:tcPr>
          <w:p>
            <w:pPr>
              <w:spacing w:line="240" w:lineRule="atLeast"/>
              <w:jc w:val="center"/>
              <w:rPr>
                <w:rFonts w:ascii="宋体"/>
                <w:sz w:val="18"/>
                <w:szCs w:val="18"/>
              </w:rPr>
            </w:pPr>
          </w:p>
        </w:tc>
        <w:tc>
          <w:tcPr>
            <w:tcW w:w="1960" w:type="dxa"/>
            <w:vAlign w:val="center"/>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trPr>
        <w:tc>
          <w:tcPr>
            <w:tcW w:w="1645" w:type="dxa"/>
            <w:vMerge w:val="continue"/>
            <w:vAlign w:val="center"/>
          </w:tcPr>
          <w:p>
            <w:pPr>
              <w:spacing w:line="300" w:lineRule="exact"/>
              <w:jc w:val="center"/>
              <w:rPr>
                <w:rFonts w:ascii="Times New Roman" w:hAnsi="Times New Roman"/>
                <w:szCs w:val="24"/>
              </w:rPr>
            </w:pPr>
          </w:p>
        </w:tc>
        <w:tc>
          <w:tcPr>
            <w:tcW w:w="2224" w:type="dxa"/>
            <w:vMerge w:val="continue"/>
            <w:vAlign w:val="center"/>
          </w:tcPr>
          <w:p>
            <w:pPr>
              <w:spacing w:line="300" w:lineRule="exact"/>
              <w:jc w:val="center"/>
              <w:rPr>
                <w:rFonts w:ascii="Times New Roman" w:hAnsi="Times New Roman"/>
                <w:szCs w:val="24"/>
              </w:rPr>
            </w:pPr>
          </w:p>
        </w:tc>
        <w:tc>
          <w:tcPr>
            <w:tcW w:w="1465" w:type="dxa"/>
            <w:vMerge w:val="continue"/>
            <w:vAlign w:val="center"/>
          </w:tcPr>
          <w:p>
            <w:pPr>
              <w:spacing w:line="300" w:lineRule="exact"/>
              <w:jc w:val="center"/>
              <w:rPr>
                <w:rFonts w:ascii="Times New Roman" w:hAnsi="Times New Roman"/>
                <w:szCs w:val="24"/>
              </w:rPr>
            </w:pPr>
          </w:p>
        </w:tc>
        <w:tc>
          <w:tcPr>
            <w:tcW w:w="2611" w:type="dxa"/>
            <w:vAlign w:val="center"/>
          </w:tcPr>
          <w:p>
            <w:pPr>
              <w:spacing w:line="240" w:lineRule="atLeast"/>
              <w:jc w:val="center"/>
              <w:rPr>
                <w:rFonts w:ascii="宋体"/>
                <w:sz w:val="18"/>
                <w:szCs w:val="18"/>
              </w:rPr>
            </w:pPr>
          </w:p>
        </w:tc>
        <w:tc>
          <w:tcPr>
            <w:tcW w:w="1960" w:type="dxa"/>
            <w:vAlign w:val="center"/>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trPr>
        <w:tc>
          <w:tcPr>
            <w:tcW w:w="1645" w:type="dxa"/>
            <w:vMerge w:val="continue"/>
            <w:vAlign w:val="center"/>
          </w:tcPr>
          <w:p>
            <w:pPr>
              <w:spacing w:line="300" w:lineRule="exact"/>
              <w:jc w:val="center"/>
              <w:rPr>
                <w:rFonts w:ascii="Times New Roman" w:hAnsi="Times New Roman"/>
                <w:szCs w:val="24"/>
              </w:rPr>
            </w:pPr>
          </w:p>
        </w:tc>
        <w:tc>
          <w:tcPr>
            <w:tcW w:w="2224" w:type="dxa"/>
            <w:vMerge w:val="continue"/>
            <w:vAlign w:val="center"/>
          </w:tcPr>
          <w:p>
            <w:pPr>
              <w:spacing w:line="300" w:lineRule="exact"/>
              <w:jc w:val="center"/>
              <w:rPr>
                <w:rFonts w:ascii="Times New Roman" w:hAnsi="Times New Roman"/>
                <w:szCs w:val="24"/>
              </w:rPr>
            </w:pPr>
          </w:p>
        </w:tc>
        <w:tc>
          <w:tcPr>
            <w:tcW w:w="1465" w:type="dxa"/>
            <w:vMerge w:val="continue"/>
            <w:vAlign w:val="center"/>
          </w:tcPr>
          <w:p>
            <w:pPr>
              <w:spacing w:line="300" w:lineRule="exact"/>
              <w:jc w:val="center"/>
              <w:rPr>
                <w:rFonts w:ascii="Times New Roman" w:hAnsi="Times New Roman"/>
                <w:szCs w:val="24"/>
              </w:rPr>
            </w:pPr>
          </w:p>
        </w:tc>
        <w:tc>
          <w:tcPr>
            <w:tcW w:w="2611" w:type="dxa"/>
            <w:vAlign w:val="center"/>
          </w:tcPr>
          <w:p>
            <w:pPr>
              <w:spacing w:line="300" w:lineRule="exact"/>
              <w:jc w:val="center"/>
              <w:rPr>
                <w:rFonts w:ascii="Times New Roman" w:hAnsi="Times New Roman"/>
                <w:szCs w:val="24"/>
              </w:rPr>
            </w:pPr>
          </w:p>
        </w:tc>
        <w:tc>
          <w:tcPr>
            <w:tcW w:w="1960" w:type="dxa"/>
            <w:vAlign w:val="center"/>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trPr>
        <w:tc>
          <w:tcPr>
            <w:tcW w:w="1645" w:type="dxa"/>
            <w:vMerge w:val="continue"/>
            <w:vAlign w:val="center"/>
          </w:tcPr>
          <w:p>
            <w:pPr>
              <w:spacing w:line="300" w:lineRule="exact"/>
              <w:jc w:val="center"/>
              <w:rPr>
                <w:rFonts w:ascii="Times New Roman" w:hAnsi="Times New Roman"/>
                <w:szCs w:val="24"/>
              </w:rPr>
            </w:pPr>
          </w:p>
        </w:tc>
        <w:tc>
          <w:tcPr>
            <w:tcW w:w="2224" w:type="dxa"/>
            <w:vMerge w:val="continue"/>
            <w:vAlign w:val="center"/>
          </w:tcPr>
          <w:p>
            <w:pPr>
              <w:spacing w:line="300" w:lineRule="exact"/>
              <w:jc w:val="center"/>
              <w:rPr>
                <w:rFonts w:ascii="Times New Roman" w:hAnsi="Times New Roman"/>
                <w:szCs w:val="24"/>
              </w:rPr>
            </w:pPr>
          </w:p>
        </w:tc>
        <w:tc>
          <w:tcPr>
            <w:tcW w:w="1465" w:type="dxa"/>
            <w:vMerge w:val="continue"/>
            <w:vAlign w:val="center"/>
          </w:tcPr>
          <w:p>
            <w:pPr>
              <w:spacing w:line="300" w:lineRule="exact"/>
              <w:jc w:val="center"/>
              <w:rPr>
                <w:rFonts w:ascii="Times New Roman" w:hAnsi="Times New Roman"/>
                <w:szCs w:val="24"/>
              </w:rPr>
            </w:pPr>
          </w:p>
        </w:tc>
        <w:tc>
          <w:tcPr>
            <w:tcW w:w="2611" w:type="dxa"/>
            <w:vAlign w:val="center"/>
          </w:tcPr>
          <w:p>
            <w:pPr>
              <w:spacing w:line="240" w:lineRule="atLeast"/>
              <w:jc w:val="center"/>
              <w:rPr>
                <w:rFonts w:ascii="宋体"/>
                <w:sz w:val="18"/>
                <w:szCs w:val="18"/>
              </w:rPr>
            </w:pPr>
          </w:p>
        </w:tc>
        <w:tc>
          <w:tcPr>
            <w:tcW w:w="1960" w:type="dxa"/>
            <w:vAlign w:val="center"/>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trPr>
        <w:tc>
          <w:tcPr>
            <w:tcW w:w="1645" w:type="dxa"/>
            <w:vMerge w:val="restart"/>
            <w:vAlign w:val="center"/>
          </w:tcPr>
          <w:p>
            <w:pPr>
              <w:spacing w:line="300" w:lineRule="exact"/>
              <w:jc w:val="center"/>
              <w:rPr>
                <w:rFonts w:ascii="Times New Roman" w:hAnsi="Times New Roman"/>
                <w:szCs w:val="24"/>
              </w:rPr>
            </w:pPr>
          </w:p>
        </w:tc>
        <w:tc>
          <w:tcPr>
            <w:tcW w:w="2224" w:type="dxa"/>
            <w:vMerge w:val="restart"/>
            <w:vAlign w:val="center"/>
          </w:tcPr>
          <w:p>
            <w:pPr>
              <w:spacing w:line="300" w:lineRule="exact"/>
              <w:jc w:val="center"/>
              <w:rPr>
                <w:rFonts w:ascii="Times New Roman" w:hAnsi="Times New Roman"/>
                <w:szCs w:val="24"/>
              </w:rPr>
            </w:pPr>
          </w:p>
        </w:tc>
        <w:tc>
          <w:tcPr>
            <w:tcW w:w="1465" w:type="dxa"/>
            <w:vMerge w:val="restart"/>
            <w:vAlign w:val="center"/>
          </w:tcPr>
          <w:p>
            <w:pPr>
              <w:spacing w:line="300" w:lineRule="exact"/>
              <w:jc w:val="center"/>
              <w:rPr>
                <w:rFonts w:ascii="Times New Roman" w:hAnsi="Times New Roman"/>
                <w:szCs w:val="24"/>
              </w:rPr>
            </w:pPr>
          </w:p>
        </w:tc>
        <w:tc>
          <w:tcPr>
            <w:tcW w:w="2611" w:type="dxa"/>
            <w:vAlign w:val="center"/>
          </w:tcPr>
          <w:p>
            <w:pPr>
              <w:spacing w:line="240" w:lineRule="atLeast"/>
              <w:jc w:val="center"/>
              <w:rPr>
                <w:rFonts w:ascii="宋体"/>
                <w:sz w:val="18"/>
                <w:szCs w:val="18"/>
              </w:rPr>
            </w:pPr>
          </w:p>
        </w:tc>
        <w:tc>
          <w:tcPr>
            <w:tcW w:w="1960" w:type="dxa"/>
            <w:vAlign w:val="center"/>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trPr>
        <w:tc>
          <w:tcPr>
            <w:tcW w:w="1645" w:type="dxa"/>
            <w:vMerge w:val="continue"/>
            <w:vAlign w:val="center"/>
          </w:tcPr>
          <w:p>
            <w:pPr>
              <w:spacing w:line="300" w:lineRule="exact"/>
              <w:jc w:val="center"/>
              <w:rPr>
                <w:rFonts w:ascii="Times New Roman" w:hAnsi="Times New Roman"/>
                <w:szCs w:val="24"/>
              </w:rPr>
            </w:pPr>
          </w:p>
        </w:tc>
        <w:tc>
          <w:tcPr>
            <w:tcW w:w="2224" w:type="dxa"/>
            <w:vMerge w:val="continue"/>
            <w:vAlign w:val="center"/>
          </w:tcPr>
          <w:p>
            <w:pPr>
              <w:spacing w:line="300" w:lineRule="exact"/>
              <w:jc w:val="center"/>
              <w:rPr>
                <w:rFonts w:ascii="Times New Roman" w:hAnsi="Times New Roman"/>
                <w:szCs w:val="24"/>
              </w:rPr>
            </w:pPr>
          </w:p>
        </w:tc>
        <w:tc>
          <w:tcPr>
            <w:tcW w:w="1465" w:type="dxa"/>
            <w:vMerge w:val="continue"/>
            <w:vAlign w:val="center"/>
          </w:tcPr>
          <w:p>
            <w:pPr>
              <w:spacing w:line="300" w:lineRule="exact"/>
              <w:jc w:val="center"/>
              <w:rPr>
                <w:rFonts w:ascii="Times New Roman" w:hAnsi="Times New Roman"/>
                <w:szCs w:val="24"/>
              </w:rPr>
            </w:pPr>
          </w:p>
        </w:tc>
        <w:tc>
          <w:tcPr>
            <w:tcW w:w="2611" w:type="dxa"/>
            <w:vAlign w:val="center"/>
          </w:tcPr>
          <w:p>
            <w:pPr>
              <w:spacing w:line="300" w:lineRule="exact"/>
              <w:jc w:val="center"/>
              <w:rPr>
                <w:rFonts w:ascii="Times New Roman" w:hAnsi="Times New Roman"/>
                <w:szCs w:val="24"/>
              </w:rPr>
            </w:pPr>
          </w:p>
        </w:tc>
        <w:tc>
          <w:tcPr>
            <w:tcW w:w="1960" w:type="dxa"/>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trPr>
        <w:tc>
          <w:tcPr>
            <w:tcW w:w="1645" w:type="dxa"/>
            <w:vMerge w:val="continue"/>
            <w:vAlign w:val="center"/>
          </w:tcPr>
          <w:p>
            <w:pPr>
              <w:spacing w:line="300" w:lineRule="exact"/>
              <w:jc w:val="center"/>
              <w:rPr>
                <w:rFonts w:ascii="Times New Roman" w:hAnsi="Times New Roman"/>
                <w:szCs w:val="24"/>
              </w:rPr>
            </w:pPr>
          </w:p>
        </w:tc>
        <w:tc>
          <w:tcPr>
            <w:tcW w:w="2224" w:type="dxa"/>
            <w:vMerge w:val="continue"/>
            <w:vAlign w:val="center"/>
          </w:tcPr>
          <w:p>
            <w:pPr>
              <w:spacing w:line="300" w:lineRule="exact"/>
              <w:jc w:val="center"/>
              <w:rPr>
                <w:rFonts w:ascii="Times New Roman" w:hAnsi="Times New Roman"/>
                <w:szCs w:val="24"/>
              </w:rPr>
            </w:pPr>
          </w:p>
        </w:tc>
        <w:tc>
          <w:tcPr>
            <w:tcW w:w="1465" w:type="dxa"/>
            <w:vMerge w:val="continue"/>
            <w:vAlign w:val="center"/>
          </w:tcPr>
          <w:p>
            <w:pPr>
              <w:spacing w:line="300" w:lineRule="exact"/>
              <w:jc w:val="center"/>
              <w:rPr>
                <w:rFonts w:ascii="Times New Roman" w:hAnsi="Times New Roman"/>
                <w:szCs w:val="24"/>
              </w:rPr>
            </w:pPr>
          </w:p>
        </w:tc>
        <w:tc>
          <w:tcPr>
            <w:tcW w:w="2611" w:type="dxa"/>
            <w:vAlign w:val="center"/>
          </w:tcPr>
          <w:p>
            <w:pPr>
              <w:spacing w:line="300" w:lineRule="exact"/>
              <w:jc w:val="center"/>
              <w:rPr>
                <w:rFonts w:ascii="Times New Roman" w:hAnsi="Times New Roman"/>
                <w:szCs w:val="24"/>
              </w:rPr>
            </w:pPr>
          </w:p>
        </w:tc>
        <w:tc>
          <w:tcPr>
            <w:tcW w:w="1960" w:type="dxa"/>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trPr>
        <w:tc>
          <w:tcPr>
            <w:tcW w:w="1645" w:type="dxa"/>
            <w:vMerge w:val="continue"/>
            <w:vAlign w:val="center"/>
          </w:tcPr>
          <w:p>
            <w:pPr>
              <w:spacing w:line="300" w:lineRule="exact"/>
              <w:jc w:val="center"/>
              <w:rPr>
                <w:rFonts w:ascii="Times New Roman" w:hAnsi="Times New Roman"/>
                <w:szCs w:val="24"/>
              </w:rPr>
            </w:pPr>
          </w:p>
        </w:tc>
        <w:tc>
          <w:tcPr>
            <w:tcW w:w="2224" w:type="dxa"/>
            <w:vMerge w:val="continue"/>
            <w:vAlign w:val="center"/>
          </w:tcPr>
          <w:p>
            <w:pPr>
              <w:spacing w:line="300" w:lineRule="exact"/>
              <w:jc w:val="center"/>
              <w:rPr>
                <w:rFonts w:ascii="Times New Roman" w:hAnsi="Times New Roman"/>
                <w:szCs w:val="24"/>
              </w:rPr>
            </w:pPr>
          </w:p>
        </w:tc>
        <w:tc>
          <w:tcPr>
            <w:tcW w:w="1465" w:type="dxa"/>
            <w:vMerge w:val="continue"/>
            <w:vAlign w:val="center"/>
          </w:tcPr>
          <w:p>
            <w:pPr>
              <w:spacing w:line="300" w:lineRule="exact"/>
              <w:jc w:val="center"/>
              <w:rPr>
                <w:rFonts w:ascii="Times New Roman" w:hAnsi="Times New Roman"/>
                <w:szCs w:val="24"/>
              </w:rPr>
            </w:pPr>
          </w:p>
        </w:tc>
        <w:tc>
          <w:tcPr>
            <w:tcW w:w="2611" w:type="dxa"/>
            <w:vAlign w:val="center"/>
          </w:tcPr>
          <w:p>
            <w:pPr>
              <w:spacing w:line="300" w:lineRule="exact"/>
              <w:jc w:val="center"/>
              <w:rPr>
                <w:rFonts w:ascii="Times New Roman" w:hAnsi="Times New Roman"/>
                <w:szCs w:val="24"/>
              </w:rPr>
            </w:pPr>
          </w:p>
        </w:tc>
        <w:tc>
          <w:tcPr>
            <w:tcW w:w="1960" w:type="dxa"/>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1645" w:type="dxa"/>
            <w:vMerge w:val="continue"/>
            <w:vAlign w:val="center"/>
          </w:tcPr>
          <w:p>
            <w:pPr>
              <w:spacing w:line="300" w:lineRule="exact"/>
              <w:jc w:val="center"/>
              <w:rPr>
                <w:rFonts w:ascii="Times New Roman" w:hAnsi="Times New Roman"/>
                <w:szCs w:val="24"/>
              </w:rPr>
            </w:pPr>
          </w:p>
        </w:tc>
        <w:tc>
          <w:tcPr>
            <w:tcW w:w="2224" w:type="dxa"/>
            <w:vMerge w:val="continue"/>
            <w:vAlign w:val="center"/>
          </w:tcPr>
          <w:p>
            <w:pPr>
              <w:spacing w:line="300" w:lineRule="exact"/>
              <w:jc w:val="center"/>
              <w:rPr>
                <w:rFonts w:ascii="Times New Roman" w:hAnsi="Times New Roman"/>
                <w:szCs w:val="24"/>
              </w:rPr>
            </w:pPr>
          </w:p>
        </w:tc>
        <w:tc>
          <w:tcPr>
            <w:tcW w:w="1465" w:type="dxa"/>
            <w:vMerge w:val="continue"/>
            <w:vAlign w:val="center"/>
          </w:tcPr>
          <w:p>
            <w:pPr>
              <w:spacing w:line="300" w:lineRule="exact"/>
              <w:jc w:val="center"/>
              <w:rPr>
                <w:rFonts w:ascii="Times New Roman" w:hAnsi="Times New Roman"/>
                <w:szCs w:val="24"/>
              </w:rPr>
            </w:pPr>
          </w:p>
        </w:tc>
        <w:tc>
          <w:tcPr>
            <w:tcW w:w="2611" w:type="dxa"/>
            <w:vAlign w:val="center"/>
          </w:tcPr>
          <w:p>
            <w:pPr>
              <w:spacing w:line="300" w:lineRule="exact"/>
              <w:jc w:val="center"/>
              <w:rPr>
                <w:rFonts w:ascii="Times New Roman" w:hAnsi="Times New Roman"/>
                <w:szCs w:val="24"/>
              </w:rPr>
            </w:pPr>
          </w:p>
        </w:tc>
        <w:tc>
          <w:tcPr>
            <w:tcW w:w="1960" w:type="dxa"/>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trPr>
        <w:tc>
          <w:tcPr>
            <w:tcW w:w="1645" w:type="dxa"/>
            <w:vMerge w:val="restart"/>
            <w:vAlign w:val="center"/>
          </w:tcPr>
          <w:p>
            <w:pPr>
              <w:spacing w:line="300" w:lineRule="exact"/>
              <w:jc w:val="center"/>
              <w:rPr>
                <w:rFonts w:ascii="Times New Roman" w:hAnsi="Times New Roman"/>
                <w:szCs w:val="24"/>
              </w:rPr>
            </w:pPr>
          </w:p>
        </w:tc>
        <w:tc>
          <w:tcPr>
            <w:tcW w:w="2224" w:type="dxa"/>
            <w:vMerge w:val="restart"/>
            <w:vAlign w:val="center"/>
          </w:tcPr>
          <w:p>
            <w:pPr>
              <w:spacing w:line="300" w:lineRule="exact"/>
              <w:jc w:val="center"/>
              <w:rPr>
                <w:rFonts w:ascii="Times New Roman" w:hAnsi="Times New Roman"/>
                <w:szCs w:val="24"/>
              </w:rPr>
            </w:pPr>
          </w:p>
        </w:tc>
        <w:tc>
          <w:tcPr>
            <w:tcW w:w="1465" w:type="dxa"/>
            <w:vMerge w:val="restart"/>
            <w:vAlign w:val="center"/>
          </w:tcPr>
          <w:p>
            <w:pPr>
              <w:spacing w:line="300" w:lineRule="exact"/>
              <w:jc w:val="center"/>
              <w:rPr>
                <w:rFonts w:ascii="Times New Roman" w:hAnsi="Times New Roman"/>
                <w:szCs w:val="24"/>
              </w:rPr>
            </w:pPr>
          </w:p>
        </w:tc>
        <w:tc>
          <w:tcPr>
            <w:tcW w:w="2611" w:type="dxa"/>
            <w:vAlign w:val="center"/>
          </w:tcPr>
          <w:p>
            <w:pPr>
              <w:spacing w:line="300" w:lineRule="exact"/>
              <w:jc w:val="center"/>
              <w:rPr>
                <w:rFonts w:ascii="Times New Roman" w:hAnsi="Times New Roman"/>
                <w:szCs w:val="24"/>
              </w:rPr>
            </w:pPr>
          </w:p>
        </w:tc>
        <w:tc>
          <w:tcPr>
            <w:tcW w:w="1960" w:type="dxa"/>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trPr>
        <w:tc>
          <w:tcPr>
            <w:tcW w:w="1645" w:type="dxa"/>
            <w:vMerge w:val="continue"/>
            <w:vAlign w:val="center"/>
          </w:tcPr>
          <w:p>
            <w:pPr>
              <w:spacing w:line="300" w:lineRule="exact"/>
              <w:jc w:val="center"/>
              <w:rPr>
                <w:rFonts w:ascii="Times New Roman" w:hAnsi="Times New Roman"/>
                <w:szCs w:val="24"/>
              </w:rPr>
            </w:pPr>
          </w:p>
        </w:tc>
        <w:tc>
          <w:tcPr>
            <w:tcW w:w="2224" w:type="dxa"/>
            <w:vMerge w:val="continue"/>
            <w:vAlign w:val="center"/>
          </w:tcPr>
          <w:p>
            <w:pPr>
              <w:spacing w:line="300" w:lineRule="exact"/>
              <w:jc w:val="center"/>
              <w:rPr>
                <w:rFonts w:ascii="Times New Roman" w:hAnsi="Times New Roman"/>
                <w:szCs w:val="24"/>
              </w:rPr>
            </w:pPr>
          </w:p>
        </w:tc>
        <w:tc>
          <w:tcPr>
            <w:tcW w:w="1465" w:type="dxa"/>
            <w:vMerge w:val="continue"/>
            <w:vAlign w:val="center"/>
          </w:tcPr>
          <w:p>
            <w:pPr>
              <w:spacing w:line="300" w:lineRule="exact"/>
              <w:jc w:val="center"/>
              <w:rPr>
                <w:rFonts w:ascii="Times New Roman" w:hAnsi="Times New Roman"/>
                <w:szCs w:val="24"/>
              </w:rPr>
            </w:pPr>
          </w:p>
        </w:tc>
        <w:tc>
          <w:tcPr>
            <w:tcW w:w="2611" w:type="dxa"/>
            <w:vAlign w:val="center"/>
          </w:tcPr>
          <w:p>
            <w:pPr>
              <w:spacing w:line="300" w:lineRule="exact"/>
              <w:jc w:val="center"/>
              <w:rPr>
                <w:rFonts w:ascii="Times New Roman" w:hAnsi="Times New Roman"/>
                <w:szCs w:val="24"/>
              </w:rPr>
            </w:pPr>
          </w:p>
        </w:tc>
        <w:tc>
          <w:tcPr>
            <w:tcW w:w="1960" w:type="dxa"/>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trPr>
        <w:tc>
          <w:tcPr>
            <w:tcW w:w="1645" w:type="dxa"/>
            <w:vMerge w:val="continue"/>
            <w:vAlign w:val="center"/>
          </w:tcPr>
          <w:p>
            <w:pPr>
              <w:spacing w:line="300" w:lineRule="exact"/>
              <w:jc w:val="center"/>
              <w:rPr>
                <w:rFonts w:ascii="Times New Roman" w:hAnsi="Times New Roman"/>
                <w:szCs w:val="24"/>
              </w:rPr>
            </w:pPr>
          </w:p>
        </w:tc>
        <w:tc>
          <w:tcPr>
            <w:tcW w:w="2224" w:type="dxa"/>
            <w:vMerge w:val="continue"/>
            <w:vAlign w:val="center"/>
          </w:tcPr>
          <w:p>
            <w:pPr>
              <w:spacing w:line="300" w:lineRule="exact"/>
              <w:jc w:val="center"/>
              <w:rPr>
                <w:rFonts w:ascii="Times New Roman" w:hAnsi="Times New Roman"/>
                <w:szCs w:val="24"/>
              </w:rPr>
            </w:pPr>
          </w:p>
        </w:tc>
        <w:tc>
          <w:tcPr>
            <w:tcW w:w="1465" w:type="dxa"/>
            <w:vMerge w:val="continue"/>
            <w:vAlign w:val="center"/>
          </w:tcPr>
          <w:p>
            <w:pPr>
              <w:spacing w:line="300" w:lineRule="exact"/>
              <w:jc w:val="center"/>
              <w:rPr>
                <w:rFonts w:ascii="Times New Roman" w:hAnsi="Times New Roman"/>
                <w:szCs w:val="24"/>
              </w:rPr>
            </w:pPr>
          </w:p>
        </w:tc>
        <w:tc>
          <w:tcPr>
            <w:tcW w:w="2611" w:type="dxa"/>
            <w:vAlign w:val="center"/>
          </w:tcPr>
          <w:p>
            <w:pPr>
              <w:spacing w:line="300" w:lineRule="exact"/>
              <w:jc w:val="center"/>
              <w:rPr>
                <w:rFonts w:ascii="Times New Roman" w:hAnsi="Times New Roman"/>
                <w:szCs w:val="24"/>
              </w:rPr>
            </w:pPr>
          </w:p>
        </w:tc>
        <w:tc>
          <w:tcPr>
            <w:tcW w:w="1960" w:type="dxa"/>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trPr>
        <w:tc>
          <w:tcPr>
            <w:tcW w:w="1645" w:type="dxa"/>
            <w:vMerge w:val="continue"/>
            <w:vAlign w:val="center"/>
          </w:tcPr>
          <w:p>
            <w:pPr>
              <w:spacing w:line="300" w:lineRule="exact"/>
              <w:jc w:val="center"/>
              <w:rPr>
                <w:rFonts w:ascii="Times New Roman" w:hAnsi="Times New Roman"/>
                <w:szCs w:val="24"/>
              </w:rPr>
            </w:pPr>
          </w:p>
        </w:tc>
        <w:tc>
          <w:tcPr>
            <w:tcW w:w="2224" w:type="dxa"/>
            <w:vMerge w:val="continue"/>
            <w:vAlign w:val="center"/>
          </w:tcPr>
          <w:p>
            <w:pPr>
              <w:spacing w:line="300" w:lineRule="exact"/>
              <w:jc w:val="center"/>
              <w:rPr>
                <w:rFonts w:ascii="Times New Roman" w:hAnsi="Times New Roman"/>
                <w:szCs w:val="24"/>
              </w:rPr>
            </w:pPr>
          </w:p>
        </w:tc>
        <w:tc>
          <w:tcPr>
            <w:tcW w:w="1465" w:type="dxa"/>
            <w:vMerge w:val="continue"/>
            <w:vAlign w:val="center"/>
          </w:tcPr>
          <w:p>
            <w:pPr>
              <w:spacing w:line="300" w:lineRule="exact"/>
              <w:jc w:val="center"/>
              <w:rPr>
                <w:rFonts w:ascii="Times New Roman" w:hAnsi="Times New Roman"/>
                <w:szCs w:val="24"/>
              </w:rPr>
            </w:pPr>
          </w:p>
        </w:tc>
        <w:tc>
          <w:tcPr>
            <w:tcW w:w="2611" w:type="dxa"/>
            <w:vAlign w:val="center"/>
          </w:tcPr>
          <w:p>
            <w:pPr>
              <w:spacing w:line="300" w:lineRule="exact"/>
              <w:jc w:val="center"/>
              <w:rPr>
                <w:rFonts w:ascii="Times New Roman" w:hAnsi="Times New Roman"/>
                <w:szCs w:val="24"/>
              </w:rPr>
            </w:pPr>
          </w:p>
        </w:tc>
        <w:tc>
          <w:tcPr>
            <w:tcW w:w="1960" w:type="dxa"/>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trPr>
        <w:tc>
          <w:tcPr>
            <w:tcW w:w="1645" w:type="dxa"/>
            <w:vMerge w:val="continue"/>
            <w:vAlign w:val="center"/>
          </w:tcPr>
          <w:p>
            <w:pPr>
              <w:spacing w:line="300" w:lineRule="exact"/>
              <w:jc w:val="center"/>
              <w:rPr>
                <w:rFonts w:ascii="Times New Roman" w:hAnsi="Times New Roman"/>
                <w:szCs w:val="24"/>
              </w:rPr>
            </w:pPr>
          </w:p>
        </w:tc>
        <w:tc>
          <w:tcPr>
            <w:tcW w:w="2224" w:type="dxa"/>
            <w:vMerge w:val="continue"/>
            <w:vAlign w:val="center"/>
          </w:tcPr>
          <w:p>
            <w:pPr>
              <w:spacing w:line="300" w:lineRule="exact"/>
              <w:jc w:val="center"/>
              <w:rPr>
                <w:rFonts w:ascii="Times New Roman" w:hAnsi="Times New Roman"/>
                <w:szCs w:val="24"/>
              </w:rPr>
            </w:pPr>
          </w:p>
        </w:tc>
        <w:tc>
          <w:tcPr>
            <w:tcW w:w="1465" w:type="dxa"/>
            <w:vMerge w:val="continue"/>
            <w:vAlign w:val="center"/>
          </w:tcPr>
          <w:p>
            <w:pPr>
              <w:spacing w:line="300" w:lineRule="exact"/>
              <w:jc w:val="center"/>
              <w:rPr>
                <w:rFonts w:ascii="Times New Roman" w:hAnsi="Times New Roman"/>
                <w:szCs w:val="24"/>
              </w:rPr>
            </w:pPr>
          </w:p>
        </w:tc>
        <w:tc>
          <w:tcPr>
            <w:tcW w:w="2611" w:type="dxa"/>
            <w:vAlign w:val="center"/>
          </w:tcPr>
          <w:p>
            <w:pPr>
              <w:spacing w:line="300" w:lineRule="exact"/>
              <w:jc w:val="center"/>
              <w:rPr>
                <w:rFonts w:ascii="Times New Roman" w:hAnsi="Times New Roman"/>
                <w:szCs w:val="24"/>
              </w:rPr>
            </w:pPr>
          </w:p>
        </w:tc>
        <w:tc>
          <w:tcPr>
            <w:tcW w:w="1960" w:type="dxa"/>
          </w:tcPr>
          <w:p>
            <w:pPr>
              <w:spacing w:line="300" w:lineRule="exact"/>
              <w:jc w:val="center"/>
              <w:rPr>
                <w:rFonts w:ascii="Times New Roman" w:hAnsi="Times New Roman"/>
                <w:szCs w:val="24"/>
              </w:rPr>
            </w:pPr>
          </w:p>
        </w:tc>
      </w:tr>
    </w:tbl>
    <w:p>
      <w:pPr>
        <w:rPr>
          <w:rFonts w:ascii="Times New Roman" w:hAnsi="Times New Roman" w:eastAsia="仿宋_GB2312"/>
          <w:sz w:val="28"/>
        </w:rPr>
      </w:pPr>
    </w:p>
    <w:p>
      <w:pPr>
        <w:rPr>
          <w:rFonts w:ascii="Times New Roman" w:hAnsi="Times New Roman" w:eastAsia="仿宋_GB2312"/>
          <w:sz w:val="28"/>
        </w:rPr>
      </w:pPr>
    </w:p>
    <w:p>
      <w:pPr>
        <w:rPr>
          <w:rFonts w:ascii="Times New Roman" w:hAnsi="Times New Roman" w:eastAsia="仿宋_GB2312"/>
          <w:sz w:val="28"/>
        </w:rPr>
      </w:pPr>
    </w:p>
    <w:tbl>
      <w:tblPr>
        <w:tblStyle w:val="6"/>
        <w:tblW w:w="10092"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1"/>
        <w:gridCol w:w="1803"/>
        <w:gridCol w:w="1809"/>
        <w:gridCol w:w="2151"/>
        <w:gridCol w:w="2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0" w:hRule="atLeast"/>
        </w:trPr>
        <w:tc>
          <w:tcPr>
            <w:tcW w:w="10092" w:type="dxa"/>
            <w:gridSpan w:val="5"/>
          </w:tcPr>
          <w:p>
            <w:pPr>
              <w:ind w:left="540"/>
              <w:rPr>
                <w:rFonts w:hint="eastAsia" w:ascii="Times New Roman" w:hAnsi="Times New Roman" w:eastAsia="仿宋_GB2312"/>
                <w:sz w:val="28"/>
              </w:rPr>
            </w:pPr>
          </w:p>
          <w:p>
            <w:pPr>
              <w:ind w:left="540"/>
              <w:rPr>
                <w:rFonts w:ascii="Times New Roman" w:hAnsi="Times New Roman" w:eastAsia="仿宋_GB2312"/>
                <w:sz w:val="28"/>
              </w:rPr>
            </w:pPr>
            <w:r>
              <w:rPr>
                <w:rFonts w:hint="eastAsia" w:ascii="Times New Roman" w:hAnsi="Times New Roman" w:eastAsia="仿宋_GB2312"/>
                <w:sz w:val="28"/>
              </w:rPr>
              <w:t>表</w:t>
            </w:r>
            <w:r>
              <w:rPr>
                <w:rFonts w:ascii="Times New Roman" w:hAnsi="Times New Roman" w:eastAsia="仿宋_GB2312"/>
                <w:sz w:val="28"/>
              </w:rPr>
              <w:t>2</w:t>
            </w:r>
            <w:r>
              <w:rPr>
                <w:rFonts w:hint="eastAsia" w:ascii="Times New Roman" w:hAnsi="Times New Roman" w:eastAsia="仿宋_GB2312"/>
                <w:sz w:val="28"/>
              </w:rPr>
              <w:t>与申请转移废物相关的生产工艺</w:t>
            </w:r>
          </w:p>
          <w:p>
            <w:pPr>
              <w:ind w:left="540"/>
              <w:rPr>
                <w:rFonts w:hint="eastAsia" w:ascii="Times New Roman" w:hAnsi="Times New Roman" w:eastAsia="仿宋_GB2312"/>
                <w:sz w:val="24"/>
                <w:szCs w:val="24"/>
              </w:rPr>
            </w:pPr>
          </w:p>
          <w:p>
            <w:pPr>
              <w:ind w:left="540"/>
              <w:rPr>
                <w:rFonts w:hint="default" w:ascii="Times New Roman" w:hAnsi="Times New Roman" w:eastAsia="仿宋_GB2312"/>
                <w:sz w:val="24"/>
                <w:szCs w:val="24"/>
                <w:lang w:val="en-US" w:eastAsia="zh-CN"/>
              </w:rPr>
            </w:pPr>
            <w:r>
              <w:rPr>
                <w:rFonts w:hint="eastAsia" w:ascii="Times New Roman" w:hAnsi="Times New Roman" w:eastAsia="仿宋_GB2312"/>
                <w:sz w:val="24"/>
                <w:szCs w:val="24"/>
              </w:rPr>
              <w:t>文字描述及工艺流程图：</w:t>
            </w:r>
          </w:p>
          <w:p>
            <w:pPr>
              <w:ind w:left="540"/>
              <w:rPr>
                <w:rFonts w:hint="eastAsia" w:ascii="Times New Roman" w:hAnsi="Times New Roman" w:eastAsia="仿宋_GB2312"/>
                <w:sz w:val="24"/>
                <w:szCs w:val="24"/>
                <w:lang w:eastAsia="zh-CN"/>
              </w:rPr>
            </w:pPr>
            <w:r>
              <w:rPr>
                <w:rFonts w:hint="eastAsia" w:ascii="Times New Roman" w:hAnsi="Times New Roman" w:eastAsia="仿宋_GB2312"/>
                <w:sz w:val="24"/>
                <w:szCs w:val="24"/>
                <w:lang w:eastAsia="zh-CN"/>
              </w:rPr>
              <w:t>生产工艺文字描述：分剪</w:t>
            </w:r>
            <w:r>
              <w:rPr>
                <w:rFonts w:hint="eastAsia" w:ascii="Times New Roman" w:hAnsi="Times New Roman" w:eastAsia="仿宋_GB2312"/>
                <w:sz w:val="24"/>
                <w:szCs w:val="24"/>
                <w:lang w:val="en-US" w:eastAsia="zh-CN"/>
              </w:rPr>
              <w:t>-泡洗-活化-冲洗-电镀锡-冲洗-钝化-冲洗-压辊-烘干-成品</w:t>
            </w:r>
          </w:p>
          <w:p>
            <w:pPr>
              <w:ind w:left="540"/>
              <w:rPr>
                <w:rFonts w:hint="eastAsia" w:ascii="Times New Roman" w:hAnsi="Times New Roman" w:eastAsia="仿宋_GB2312"/>
                <w:sz w:val="24"/>
                <w:szCs w:val="24"/>
              </w:rPr>
            </w:pPr>
          </w:p>
          <w:p>
            <w:pPr>
              <w:ind w:left="540"/>
              <w:rPr>
                <w:rFonts w:hint="eastAsia" w:ascii="Times New Roman" w:hAnsi="Times New Roman" w:eastAsia="仿宋_GB2312"/>
                <w:sz w:val="24"/>
                <w:szCs w:val="24"/>
                <w:lang w:eastAsia="zh-CN"/>
              </w:rPr>
            </w:pPr>
          </w:p>
          <w:p>
            <w:pPr>
              <w:ind w:left="540"/>
              <w:rPr>
                <w:rFonts w:hint="eastAsia" w:ascii="Times New Roman" w:hAnsi="Times New Roman" w:eastAsia="仿宋_GB2312"/>
                <w:sz w:val="24"/>
                <w:szCs w:val="24"/>
                <w:lang w:eastAsia="zh-CN"/>
              </w:rPr>
            </w:pPr>
          </w:p>
          <w:p>
            <w:pPr>
              <w:ind w:left="540"/>
              <w:rPr>
                <w:rFonts w:hint="eastAsia" w:ascii="Times New Roman" w:hAnsi="Times New Roman" w:eastAsia="仿宋_GB2312"/>
                <w:sz w:val="24"/>
                <w:szCs w:val="24"/>
                <w:lang w:eastAsia="zh-CN"/>
              </w:rPr>
            </w:pPr>
          </w:p>
          <w:p>
            <w:pPr>
              <w:ind w:left="540"/>
              <w:rPr>
                <w:rFonts w:hint="eastAsia" w:ascii="Times New Roman" w:hAnsi="Times New Roman" w:eastAsia="仿宋_GB2312"/>
                <w:sz w:val="24"/>
                <w:szCs w:val="24"/>
                <w:lang w:eastAsia="zh-CN"/>
              </w:rPr>
            </w:pPr>
            <w:r>
              <w:rPr>
                <w:rFonts w:hint="eastAsia" w:ascii="Times New Roman" w:hAnsi="Times New Roman" w:eastAsia="仿宋_GB2312"/>
                <w:sz w:val="24"/>
                <w:szCs w:val="24"/>
                <w:lang w:eastAsia="zh-CN"/>
              </w:rPr>
              <w:t>生产</w:t>
            </w:r>
            <w:r>
              <w:rPr>
                <w:rFonts w:hint="eastAsia" w:ascii="Times New Roman" w:hAnsi="Times New Roman" w:eastAsia="仿宋_GB2312"/>
                <w:sz w:val="24"/>
                <w:szCs w:val="24"/>
              </w:rPr>
              <w:t>工艺</w:t>
            </w:r>
            <w:r>
              <w:rPr>
                <w:rFonts w:hint="eastAsia" w:ascii="Times New Roman" w:hAnsi="Times New Roman" w:eastAsia="仿宋_GB2312"/>
                <w:sz w:val="24"/>
                <w:szCs w:val="24"/>
                <w:lang w:eastAsia="zh-CN"/>
              </w:rPr>
              <w:t>流程图：</w:t>
            </w:r>
          </w:p>
          <w:p>
            <w:pPr>
              <w:ind w:left="540"/>
              <w:rPr>
                <w:rFonts w:eastAsiaTheme="minorEastAsia"/>
              </w:rPr>
            </w:pPr>
            <w:r>
              <w:rPr>
                <w:rFonts w:ascii="Times New Roman" w:eastAsia="仿宋"/>
                <w:sz w:val="21"/>
              </w:rPr>
              <w:drawing>
                <wp:inline distT="0" distB="0" distL="114300" distR="114300">
                  <wp:extent cx="4248150" cy="5886450"/>
                  <wp:effectExtent l="0" t="0" r="0" b="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6"/>
                          <a:stretch>
                            <a:fillRect/>
                          </a:stretch>
                        </pic:blipFill>
                        <pic:spPr>
                          <a:xfrm>
                            <a:off x="0" y="0"/>
                            <a:ext cx="4248150" cy="5886450"/>
                          </a:xfrm>
                          <a:prstGeom prst="rect">
                            <a:avLst/>
                          </a:prstGeom>
                        </pic:spPr>
                      </pic:pic>
                    </a:graphicData>
                  </a:graphic>
                </wp:inline>
              </w:drawing>
            </w:r>
            <w:r>
              <w:rPr>
                <w:rFonts w:ascii="Times New Roman" w:eastAsia="仿宋"/>
                <w:sz w:val="21"/>
              </w:rPr>
              <mc:AlternateContent>
                <mc:Choice Requires="wps">
                  <w:drawing>
                    <wp:anchor distT="0" distB="0" distL="114300" distR="114300" simplePos="0" relativeHeight="251659264" behindDoc="0" locked="0" layoutInCell="1" allowOverlap="1">
                      <wp:simplePos x="0" y="0"/>
                      <wp:positionH relativeFrom="column">
                        <wp:posOffset>168910</wp:posOffset>
                      </wp:positionH>
                      <wp:positionV relativeFrom="paragraph">
                        <wp:posOffset>8772525</wp:posOffset>
                      </wp:positionV>
                      <wp:extent cx="4460875" cy="317500"/>
                      <wp:effectExtent l="0" t="0" r="0" b="0"/>
                      <wp:wrapNone/>
                      <wp:docPr id="6" name="流程图: 过程 6"/>
                      <wp:cNvGraphicFramePr/>
                      <a:graphic xmlns:a="http://schemas.openxmlformats.org/drawingml/2006/main">
                        <a:graphicData uri="http://schemas.microsoft.com/office/word/2010/wordprocessingShape">
                          <wps:wsp>
                            <wps:cNvSpPr/>
                            <wps:spPr>
                              <a:xfrm>
                                <a:off x="0" y="0"/>
                                <a:ext cx="4460875" cy="317500"/>
                              </a:xfrm>
                              <a:prstGeom prst="flowChartProcess">
                                <a:avLst/>
                              </a:prstGeom>
                              <a:noFill/>
                              <a:ln>
                                <a:noFill/>
                              </a:ln>
                            </wps:spPr>
                            <wps:txbx>
                              <w:txbxContent>
                                <w:p>
                                  <w:pPr>
                                    <w:adjustRightInd w:val="0"/>
                                    <w:snapToGrid w:val="0"/>
                                    <w:spacing w:line="360" w:lineRule="auto"/>
                                    <w:jc w:val="center"/>
                                    <w:rPr>
                                      <w:rFonts w:hint="eastAsia" w:ascii="Times New Roman" w:eastAsia="仿宋"/>
                                      <w:b/>
                                      <w:bCs/>
                                      <w:sz w:val="24"/>
                                      <w:szCs w:val="24"/>
                                    </w:rPr>
                                  </w:pPr>
                                </w:p>
                              </w:txbxContent>
                            </wps:txbx>
                            <wps:bodyPr upright="1"/>
                          </wps:wsp>
                        </a:graphicData>
                      </a:graphic>
                    </wp:anchor>
                  </w:drawing>
                </mc:Choice>
                <mc:Fallback>
                  <w:pict>
                    <v:shape id="_x0000_s1026" o:spid="_x0000_s1026" o:spt="109" type="#_x0000_t109" style="position:absolute;left:0pt;margin-left:13.3pt;margin-top:690.75pt;height:25pt;width:351.25pt;z-index:251659264;mso-width-relative:page;mso-height-relative:page;" filled="f" stroked="f" coordsize="21600,21600" o:gfxdata="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SxqftgAAAAMAQAADwAAAAAAAAABACAAAAAiAAAAZHJzL2Rvd25yZXYueG1sUEsBAhQA&#10;FAAAAAgAh07iQFmQVfK5AQAAWAMAAA4AAAAAAAAAAQAgAAAAJwEAAGRycy9lMm9Eb2MueG1sUEsF&#10;BgAAAAAGAAYAWQEAAFIFAAAAAA==&#10;">
                      <v:fill on="f" focussize="0,0"/>
                      <v:stroke on="f"/>
                      <v:imagedata o:title=""/>
                      <o:lock v:ext="edit" aspectratio="f"/>
                      <v:textbox>
                        <w:txbxContent>
                          <w:p>
                            <w:pPr>
                              <w:adjustRightInd w:val="0"/>
                              <w:snapToGrid w:val="0"/>
                              <w:spacing w:line="360" w:lineRule="auto"/>
                              <w:jc w:val="center"/>
                              <w:rPr>
                                <w:rFonts w:hint="eastAsia" w:ascii="Times New Roman" w:eastAsia="仿宋"/>
                                <w:b/>
                                <w:bCs/>
                                <w:sz w:val="24"/>
                                <w:szCs w:val="24"/>
                              </w:rPr>
                            </w:pP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092" w:type="dxa"/>
            <w:gridSpan w:val="5"/>
            <w:vAlign w:val="center"/>
          </w:tcPr>
          <w:p>
            <w:pPr>
              <w:rPr>
                <w:rFonts w:ascii="Times New Roman" w:hAnsi="Times New Roman"/>
                <w:sz w:val="24"/>
                <w:szCs w:val="24"/>
              </w:rPr>
            </w:pPr>
            <w:r>
              <w:rPr>
                <w:rFonts w:hint="eastAsia" w:ascii="Times New Roman" w:eastAsia="黑体"/>
                <w:sz w:val="24"/>
                <w:szCs w:val="24"/>
              </w:rPr>
              <w:t>表</w:t>
            </w:r>
            <w:r>
              <w:rPr>
                <w:rFonts w:ascii="Times New Roman" w:hAnsi="Times New Roman" w:eastAsia="黑体"/>
                <w:sz w:val="24"/>
                <w:szCs w:val="24"/>
              </w:rPr>
              <w:t xml:space="preserve">3   </w:t>
            </w:r>
            <w:r>
              <w:rPr>
                <w:rFonts w:hint="eastAsia" w:ascii="Times New Roman" w:eastAsia="黑体"/>
                <w:sz w:val="24"/>
                <w:szCs w:val="24"/>
              </w:rPr>
              <w:t>废物组分、特性（详见附件）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851" w:type="dxa"/>
            <w:vAlign w:val="center"/>
          </w:tcPr>
          <w:p>
            <w:pPr>
              <w:rPr>
                <w:rFonts w:ascii="Times New Roman" w:hAnsi="Times New Roman"/>
                <w:szCs w:val="21"/>
              </w:rPr>
            </w:pPr>
            <w:r>
              <w:rPr>
                <w:rFonts w:hint="eastAsia" w:ascii="Times New Roman" w:hAnsi="宋体"/>
                <w:szCs w:val="21"/>
              </w:rPr>
              <w:t>废物名称</w:t>
            </w:r>
          </w:p>
        </w:tc>
        <w:tc>
          <w:tcPr>
            <w:tcW w:w="1803" w:type="dxa"/>
            <w:vAlign w:val="center"/>
          </w:tcPr>
          <w:p>
            <w:pPr>
              <w:rPr>
                <w:rFonts w:ascii="Times New Roman" w:hAnsi="Times New Roman"/>
                <w:szCs w:val="21"/>
              </w:rPr>
            </w:pPr>
            <w:r>
              <w:rPr>
                <w:rFonts w:hint="eastAsia" w:ascii="Times New Roman" w:hAnsi="宋体"/>
                <w:szCs w:val="21"/>
              </w:rPr>
              <w:t>主要组分</w:t>
            </w:r>
          </w:p>
        </w:tc>
        <w:tc>
          <w:tcPr>
            <w:tcW w:w="1809" w:type="dxa"/>
            <w:vAlign w:val="center"/>
          </w:tcPr>
          <w:p>
            <w:pPr>
              <w:rPr>
                <w:rFonts w:ascii="Times New Roman" w:hAnsi="Times New Roman"/>
                <w:szCs w:val="21"/>
              </w:rPr>
            </w:pPr>
            <w:r>
              <w:rPr>
                <w:rFonts w:hint="eastAsia" w:ascii="Times New Roman" w:hAnsi="宋体"/>
                <w:szCs w:val="21"/>
              </w:rPr>
              <w:t>相应比例（</w:t>
            </w:r>
            <w:r>
              <w:rPr>
                <w:rFonts w:ascii="Times New Roman" w:hAnsi="Times New Roman"/>
                <w:szCs w:val="21"/>
              </w:rPr>
              <w:t>%</w:t>
            </w:r>
            <w:r>
              <w:rPr>
                <w:rFonts w:hint="eastAsia" w:ascii="Times New Roman" w:hAnsi="宋体"/>
                <w:szCs w:val="21"/>
              </w:rPr>
              <w:t>）</w:t>
            </w:r>
          </w:p>
        </w:tc>
        <w:tc>
          <w:tcPr>
            <w:tcW w:w="2151" w:type="dxa"/>
            <w:vAlign w:val="center"/>
          </w:tcPr>
          <w:p>
            <w:pPr>
              <w:rPr>
                <w:rFonts w:ascii="Times New Roman" w:hAnsi="Times New Roman"/>
                <w:szCs w:val="21"/>
              </w:rPr>
            </w:pPr>
            <w:r>
              <w:rPr>
                <w:rFonts w:hint="eastAsia" w:ascii="Times New Roman" w:hAnsi="宋体"/>
                <w:szCs w:val="21"/>
              </w:rPr>
              <w:t>危害特性</w:t>
            </w:r>
          </w:p>
        </w:tc>
        <w:tc>
          <w:tcPr>
            <w:tcW w:w="2478" w:type="dxa"/>
            <w:vAlign w:val="center"/>
          </w:tcPr>
          <w:p>
            <w:pPr>
              <w:rPr>
                <w:rFonts w:ascii="Times New Roman" w:hAnsi="Times New Roman"/>
                <w:szCs w:val="21"/>
              </w:rPr>
            </w:pPr>
            <w:r>
              <w:rPr>
                <w:rFonts w:hint="eastAsia" w:ascii="Times New Roman" w:hAnsi="宋体"/>
                <w:szCs w:val="21"/>
              </w:rPr>
              <w:t>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851" w:type="dxa"/>
            <w:vMerge w:val="restart"/>
          </w:tcPr>
          <w:p>
            <w:pPr>
              <w:rPr>
                <w:rFonts w:ascii="Times New Roman" w:hAnsi="Times New Roman"/>
                <w:szCs w:val="21"/>
              </w:rPr>
            </w:pPr>
            <w:r>
              <w:rPr>
                <w:rFonts w:hint="eastAsia" w:ascii="Times New Roman" w:hAnsi="Times New Roman"/>
                <w:szCs w:val="21"/>
                <w:lang w:eastAsia="zh-CN"/>
              </w:rPr>
              <w:t>一般废水</w:t>
            </w:r>
            <w:r>
              <w:rPr>
                <w:rFonts w:hint="eastAsia" w:ascii="Times New Roman" w:hAnsi="Times New Roman"/>
                <w:szCs w:val="21"/>
              </w:rPr>
              <w:t>污泥</w:t>
            </w:r>
          </w:p>
        </w:tc>
        <w:tc>
          <w:tcPr>
            <w:tcW w:w="1803" w:type="dxa"/>
          </w:tcPr>
          <w:p>
            <w:pPr>
              <w:rPr>
                <w:rFonts w:ascii="Times New Roman" w:hAnsi="Times New Roman"/>
                <w:szCs w:val="21"/>
              </w:rPr>
            </w:pPr>
            <w:r>
              <w:rPr>
                <w:rFonts w:hint="eastAsia" w:ascii="Times New Roman" w:hAnsi="Times New Roman"/>
                <w:sz w:val="24"/>
                <w:szCs w:val="24"/>
              </w:rPr>
              <w:t>H2O%</w:t>
            </w:r>
          </w:p>
        </w:tc>
        <w:tc>
          <w:tcPr>
            <w:tcW w:w="1809" w:type="dxa"/>
          </w:tcPr>
          <w:p>
            <w:pPr>
              <w:rPr>
                <w:rFonts w:ascii="Times New Roman" w:hAnsi="Times New Roman"/>
                <w:szCs w:val="21"/>
              </w:rPr>
            </w:pPr>
            <w:r>
              <w:rPr>
                <w:rFonts w:hint="eastAsia" w:ascii="Times New Roman" w:hAnsi="Times New Roman"/>
                <w:szCs w:val="21"/>
                <w:lang w:val="en-US" w:eastAsia="zh-CN"/>
              </w:rPr>
              <w:t>65</w:t>
            </w:r>
            <w:r>
              <w:rPr>
                <w:rFonts w:hint="eastAsia" w:ascii="Times New Roman" w:hAnsi="Times New Roman"/>
                <w:szCs w:val="21"/>
              </w:rPr>
              <w:t>%</w:t>
            </w:r>
          </w:p>
        </w:tc>
        <w:tc>
          <w:tcPr>
            <w:tcW w:w="2151" w:type="dxa"/>
            <w:vMerge w:val="restart"/>
            <w:vAlign w:val="center"/>
          </w:tcPr>
          <w:p>
            <w:pPr>
              <w:spacing w:line="240" w:lineRule="exact"/>
              <w:rPr>
                <w:rFonts w:ascii="Times New Roman" w:hAnsi="Times New Roman"/>
                <w:szCs w:val="21"/>
              </w:rPr>
            </w:pPr>
            <w:r>
              <w:rPr>
                <w:rFonts w:hint="eastAsia" w:ascii="Times New Roman" w:hAnsi="宋体"/>
                <w:szCs w:val="21"/>
              </w:rPr>
              <w:t>腐蚀性□</w:t>
            </w:r>
          </w:p>
          <w:p>
            <w:pPr>
              <w:spacing w:line="240" w:lineRule="exact"/>
              <w:rPr>
                <w:rFonts w:ascii="Times New Roman" w:hAnsi="Times New Roman"/>
                <w:szCs w:val="21"/>
              </w:rPr>
            </w:pPr>
            <w:r>
              <w:rPr>
                <w:rFonts w:hint="eastAsia" w:ascii="Times New Roman" w:hAnsi="宋体"/>
                <w:szCs w:val="21"/>
              </w:rPr>
              <w:t>毒性</w:t>
            </w:r>
            <w:r>
              <w:rPr>
                <w:rFonts w:hint="eastAsia" w:ascii="微软雅黑" w:hAnsi="微软雅黑"/>
                <w:szCs w:val="21"/>
              </w:rPr>
              <w:t>√</w:t>
            </w:r>
          </w:p>
          <w:p>
            <w:pPr>
              <w:spacing w:line="240" w:lineRule="exact"/>
              <w:rPr>
                <w:rFonts w:ascii="Times New Roman" w:hAnsi="Times New Roman"/>
                <w:szCs w:val="21"/>
              </w:rPr>
            </w:pPr>
            <w:r>
              <w:rPr>
                <w:rFonts w:hint="eastAsia" w:ascii="Times New Roman" w:hAnsi="宋体"/>
                <w:szCs w:val="21"/>
              </w:rPr>
              <w:t>易燃性□</w:t>
            </w:r>
          </w:p>
          <w:p>
            <w:pPr>
              <w:spacing w:line="240" w:lineRule="exact"/>
              <w:rPr>
                <w:rFonts w:ascii="Times New Roman" w:hAnsi="Times New Roman"/>
                <w:szCs w:val="21"/>
              </w:rPr>
            </w:pPr>
            <w:r>
              <w:rPr>
                <w:rFonts w:hint="eastAsia" w:ascii="Times New Roman" w:hAnsi="宋体"/>
                <w:szCs w:val="21"/>
              </w:rPr>
              <w:t>反应性□</w:t>
            </w:r>
          </w:p>
          <w:p>
            <w:pPr>
              <w:spacing w:line="240" w:lineRule="exact"/>
              <w:rPr>
                <w:rFonts w:ascii="Times New Roman" w:hAnsi="Times New Roman"/>
                <w:szCs w:val="21"/>
              </w:rPr>
            </w:pPr>
            <w:r>
              <w:rPr>
                <w:rFonts w:hint="eastAsia" w:ascii="Times New Roman" w:hAnsi="宋体"/>
                <w:szCs w:val="21"/>
              </w:rPr>
              <w:t>感染性□</w:t>
            </w:r>
          </w:p>
        </w:tc>
        <w:tc>
          <w:tcPr>
            <w:tcW w:w="2478" w:type="dxa"/>
            <w:vMerge w:val="restart"/>
            <w:vAlign w:val="center"/>
          </w:tcPr>
          <w:p>
            <w:pPr>
              <w:spacing w:line="240" w:lineRule="exact"/>
              <w:rPr>
                <w:rFonts w:ascii="Times New Roman" w:hAnsi="Times New Roman"/>
                <w:szCs w:val="21"/>
              </w:rPr>
            </w:pPr>
            <w:r>
              <w:rPr>
                <w:rFonts w:hint="eastAsia" w:ascii="Times New Roman" w:hAnsi="宋体"/>
                <w:szCs w:val="21"/>
              </w:rPr>
              <w:t>固态</w:t>
            </w:r>
            <w:r>
              <w:rPr>
                <w:rFonts w:hint="eastAsia" w:ascii="微软雅黑" w:hAnsi="微软雅黑"/>
                <w:szCs w:val="21"/>
              </w:rPr>
              <w:t xml:space="preserve"> √</w:t>
            </w:r>
          </w:p>
          <w:p>
            <w:pPr>
              <w:spacing w:line="240" w:lineRule="exact"/>
              <w:rPr>
                <w:rFonts w:ascii="Times New Roman" w:hAnsi="宋体"/>
                <w:szCs w:val="21"/>
              </w:rPr>
            </w:pPr>
            <w:r>
              <w:rPr>
                <w:rFonts w:hint="eastAsia" w:ascii="Times New Roman" w:hAnsi="宋体"/>
                <w:szCs w:val="21"/>
              </w:rPr>
              <w:t>半固态□</w:t>
            </w:r>
          </w:p>
          <w:p>
            <w:pPr>
              <w:spacing w:line="240" w:lineRule="exact"/>
              <w:rPr>
                <w:rFonts w:ascii="Times New Roman" w:hAnsi="宋体"/>
                <w:szCs w:val="21"/>
              </w:rPr>
            </w:pPr>
            <w:r>
              <w:rPr>
                <w:rFonts w:hint="eastAsia" w:ascii="Times New Roman" w:hAnsi="宋体"/>
                <w:szCs w:val="21"/>
              </w:rPr>
              <w:t>粉末态□</w:t>
            </w:r>
          </w:p>
          <w:p>
            <w:pPr>
              <w:spacing w:line="240" w:lineRule="exact"/>
              <w:rPr>
                <w:rFonts w:ascii="Times New Roman" w:hAnsi="Times New Roman"/>
                <w:szCs w:val="21"/>
              </w:rPr>
            </w:pPr>
            <w:r>
              <w:rPr>
                <w:rFonts w:hint="eastAsia" w:ascii="Times New Roman" w:hAnsi="宋体"/>
                <w:szCs w:val="21"/>
              </w:rPr>
              <w:t>颗粒态□</w:t>
            </w:r>
          </w:p>
          <w:p>
            <w:pPr>
              <w:spacing w:line="240" w:lineRule="exact"/>
              <w:rPr>
                <w:rFonts w:ascii="Times New Roman" w:hAnsi="Times New Roman"/>
                <w:szCs w:val="21"/>
              </w:rPr>
            </w:pPr>
            <w:r>
              <w:rPr>
                <w:rFonts w:hint="eastAsia" w:ascii="Times New Roman" w:hAnsi="宋体"/>
                <w:szCs w:val="21"/>
              </w:rPr>
              <w:t>液态□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851" w:type="dxa"/>
            <w:vMerge w:val="continue"/>
          </w:tcPr>
          <w:p>
            <w:pPr>
              <w:rPr>
                <w:rFonts w:ascii="Times New Roman" w:hAnsi="Times New Roman"/>
                <w:szCs w:val="21"/>
              </w:rPr>
            </w:pPr>
          </w:p>
        </w:tc>
        <w:tc>
          <w:tcPr>
            <w:tcW w:w="1803" w:type="dxa"/>
          </w:tcPr>
          <w:p>
            <w:pPr>
              <w:rPr>
                <w:rFonts w:ascii="Times New Roman" w:hAnsi="Times New Roman"/>
                <w:szCs w:val="21"/>
              </w:rPr>
            </w:pPr>
          </w:p>
        </w:tc>
        <w:tc>
          <w:tcPr>
            <w:tcW w:w="1809" w:type="dxa"/>
          </w:tcPr>
          <w:p>
            <w:pPr>
              <w:rPr>
                <w:rFonts w:ascii="Times New Roman" w:hAnsi="Times New Roman"/>
                <w:szCs w:val="21"/>
              </w:rPr>
            </w:pPr>
          </w:p>
        </w:tc>
        <w:tc>
          <w:tcPr>
            <w:tcW w:w="2151" w:type="dxa"/>
            <w:vMerge w:val="continue"/>
            <w:vAlign w:val="center"/>
          </w:tcPr>
          <w:p>
            <w:pPr>
              <w:spacing w:line="240" w:lineRule="exact"/>
              <w:rPr>
                <w:rFonts w:ascii="Times New Roman" w:hAnsi="Times New Roman"/>
                <w:szCs w:val="21"/>
              </w:rPr>
            </w:pPr>
          </w:p>
        </w:tc>
        <w:tc>
          <w:tcPr>
            <w:tcW w:w="2478" w:type="dxa"/>
            <w:vMerge w:val="continue"/>
            <w:vAlign w:val="center"/>
          </w:tcPr>
          <w:p>
            <w:pPr>
              <w:spacing w:line="240" w:lineRule="exac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 w:hRule="atLeast"/>
        </w:trPr>
        <w:tc>
          <w:tcPr>
            <w:tcW w:w="1851" w:type="dxa"/>
            <w:vMerge w:val="continue"/>
          </w:tcPr>
          <w:p>
            <w:pPr>
              <w:rPr>
                <w:rFonts w:ascii="Times New Roman" w:hAnsi="Times New Roman"/>
                <w:szCs w:val="21"/>
              </w:rPr>
            </w:pPr>
          </w:p>
        </w:tc>
        <w:tc>
          <w:tcPr>
            <w:tcW w:w="1803" w:type="dxa"/>
          </w:tcPr>
          <w:p>
            <w:pPr>
              <w:rPr>
                <w:rFonts w:hint="default" w:ascii="Times New Roman" w:hAnsi="Times New Roman" w:eastAsia="微软雅黑"/>
                <w:szCs w:val="21"/>
                <w:lang w:val="en-US" w:eastAsia="zh-CN"/>
              </w:rPr>
            </w:pPr>
          </w:p>
        </w:tc>
        <w:tc>
          <w:tcPr>
            <w:tcW w:w="1809" w:type="dxa"/>
          </w:tcPr>
          <w:p>
            <w:pPr>
              <w:rPr>
                <w:rFonts w:hint="default" w:ascii="Times New Roman" w:hAnsi="Times New Roman" w:eastAsia="微软雅黑"/>
                <w:szCs w:val="21"/>
                <w:lang w:val="en-US" w:eastAsia="zh-CN"/>
              </w:rPr>
            </w:pPr>
          </w:p>
        </w:tc>
        <w:tc>
          <w:tcPr>
            <w:tcW w:w="2151" w:type="dxa"/>
            <w:vMerge w:val="continue"/>
            <w:vAlign w:val="center"/>
          </w:tcPr>
          <w:p>
            <w:pPr>
              <w:spacing w:line="240" w:lineRule="exact"/>
              <w:rPr>
                <w:rFonts w:ascii="Times New Roman" w:hAnsi="Times New Roman"/>
                <w:szCs w:val="21"/>
              </w:rPr>
            </w:pPr>
          </w:p>
        </w:tc>
        <w:tc>
          <w:tcPr>
            <w:tcW w:w="2478" w:type="dxa"/>
            <w:vMerge w:val="continue"/>
            <w:vAlign w:val="center"/>
          </w:tcPr>
          <w:p>
            <w:pPr>
              <w:spacing w:line="240" w:lineRule="exac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 w:hRule="atLeast"/>
        </w:trPr>
        <w:tc>
          <w:tcPr>
            <w:tcW w:w="1851" w:type="dxa"/>
            <w:vMerge w:val="continue"/>
          </w:tcPr>
          <w:p>
            <w:pPr>
              <w:rPr>
                <w:rFonts w:ascii="Times New Roman" w:hAnsi="Times New Roman"/>
                <w:szCs w:val="21"/>
              </w:rPr>
            </w:pPr>
          </w:p>
        </w:tc>
        <w:tc>
          <w:tcPr>
            <w:tcW w:w="1803" w:type="dxa"/>
          </w:tcPr>
          <w:p>
            <w:pPr>
              <w:rPr>
                <w:rFonts w:ascii="Times New Roman" w:hAnsi="Times New Roman"/>
                <w:szCs w:val="21"/>
              </w:rPr>
            </w:pPr>
          </w:p>
        </w:tc>
        <w:tc>
          <w:tcPr>
            <w:tcW w:w="1809" w:type="dxa"/>
          </w:tcPr>
          <w:p>
            <w:pPr>
              <w:rPr>
                <w:rFonts w:ascii="Times New Roman" w:hAnsi="Times New Roman"/>
                <w:szCs w:val="21"/>
              </w:rPr>
            </w:pPr>
          </w:p>
        </w:tc>
        <w:tc>
          <w:tcPr>
            <w:tcW w:w="2151" w:type="dxa"/>
            <w:vMerge w:val="continue"/>
            <w:vAlign w:val="center"/>
          </w:tcPr>
          <w:p>
            <w:pPr>
              <w:spacing w:line="240" w:lineRule="exact"/>
              <w:rPr>
                <w:rFonts w:ascii="Times New Roman" w:hAnsi="Times New Roman"/>
                <w:szCs w:val="21"/>
              </w:rPr>
            </w:pPr>
          </w:p>
        </w:tc>
        <w:tc>
          <w:tcPr>
            <w:tcW w:w="2478" w:type="dxa"/>
            <w:vMerge w:val="continue"/>
            <w:vAlign w:val="center"/>
          </w:tcPr>
          <w:p>
            <w:pPr>
              <w:spacing w:line="240" w:lineRule="exac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1851" w:type="dxa"/>
            <w:vMerge w:val="continue"/>
          </w:tcPr>
          <w:p>
            <w:pPr>
              <w:rPr>
                <w:rFonts w:ascii="Times New Roman" w:hAnsi="Times New Roman"/>
                <w:szCs w:val="21"/>
              </w:rPr>
            </w:pPr>
          </w:p>
        </w:tc>
        <w:tc>
          <w:tcPr>
            <w:tcW w:w="1803" w:type="dxa"/>
          </w:tcPr>
          <w:p>
            <w:pPr>
              <w:rPr>
                <w:rFonts w:ascii="Times New Roman" w:hAnsi="Times New Roman"/>
                <w:szCs w:val="21"/>
              </w:rPr>
            </w:pPr>
          </w:p>
        </w:tc>
        <w:tc>
          <w:tcPr>
            <w:tcW w:w="1809" w:type="dxa"/>
          </w:tcPr>
          <w:p>
            <w:pPr>
              <w:rPr>
                <w:rFonts w:ascii="Times New Roman" w:hAnsi="Times New Roman"/>
                <w:szCs w:val="21"/>
              </w:rPr>
            </w:pPr>
          </w:p>
        </w:tc>
        <w:tc>
          <w:tcPr>
            <w:tcW w:w="2151" w:type="dxa"/>
            <w:vMerge w:val="continue"/>
            <w:vAlign w:val="center"/>
          </w:tcPr>
          <w:p>
            <w:pPr>
              <w:spacing w:line="240" w:lineRule="exact"/>
              <w:rPr>
                <w:rFonts w:ascii="Times New Roman" w:hAnsi="Times New Roman"/>
                <w:szCs w:val="21"/>
              </w:rPr>
            </w:pPr>
          </w:p>
        </w:tc>
        <w:tc>
          <w:tcPr>
            <w:tcW w:w="2478" w:type="dxa"/>
            <w:vMerge w:val="continue"/>
            <w:vAlign w:val="center"/>
          </w:tcPr>
          <w:p>
            <w:pPr>
              <w:spacing w:line="240" w:lineRule="exac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rPr>
        <w:tc>
          <w:tcPr>
            <w:tcW w:w="1851" w:type="dxa"/>
            <w:vMerge w:val="restart"/>
          </w:tcPr>
          <w:p>
            <w:pPr>
              <w:rPr>
                <w:rFonts w:ascii="Times New Roman" w:hAnsi="Times New Roman"/>
                <w:szCs w:val="21"/>
              </w:rPr>
            </w:pPr>
          </w:p>
          <w:p>
            <w:pPr>
              <w:rPr>
                <w:rFonts w:ascii="Times New Roman" w:hAnsi="Times New Roman"/>
                <w:szCs w:val="21"/>
              </w:rPr>
            </w:pPr>
          </w:p>
          <w:p>
            <w:pPr>
              <w:rPr>
                <w:rFonts w:ascii="Times New Roman" w:hAnsi="Times New Roman"/>
                <w:szCs w:val="21"/>
              </w:rPr>
            </w:pPr>
          </w:p>
          <w:p>
            <w:pPr>
              <w:rPr>
                <w:rFonts w:ascii="Times New Roman" w:hAnsi="Times New Roman"/>
                <w:szCs w:val="21"/>
              </w:rPr>
            </w:pPr>
          </w:p>
          <w:p>
            <w:pPr>
              <w:rPr>
                <w:rFonts w:ascii="Times New Roman" w:hAnsi="Times New Roman"/>
                <w:szCs w:val="21"/>
              </w:rPr>
            </w:pPr>
          </w:p>
        </w:tc>
        <w:tc>
          <w:tcPr>
            <w:tcW w:w="1803" w:type="dxa"/>
          </w:tcPr>
          <w:p>
            <w:pPr>
              <w:rPr>
                <w:rFonts w:ascii="Times New Roman" w:hAnsi="Times New Roman"/>
                <w:szCs w:val="21"/>
              </w:rPr>
            </w:pPr>
          </w:p>
        </w:tc>
        <w:tc>
          <w:tcPr>
            <w:tcW w:w="1809" w:type="dxa"/>
          </w:tcPr>
          <w:p>
            <w:pPr>
              <w:rPr>
                <w:rFonts w:ascii="Times New Roman" w:hAnsi="Times New Roman"/>
                <w:szCs w:val="21"/>
              </w:rPr>
            </w:pPr>
          </w:p>
        </w:tc>
        <w:tc>
          <w:tcPr>
            <w:tcW w:w="2151" w:type="dxa"/>
            <w:vMerge w:val="restart"/>
            <w:vAlign w:val="center"/>
          </w:tcPr>
          <w:p>
            <w:pPr>
              <w:spacing w:line="240" w:lineRule="exact"/>
              <w:rPr>
                <w:rFonts w:ascii="Times New Roman" w:hAnsi="宋体"/>
                <w:szCs w:val="21"/>
              </w:rPr>
            </w:pPr>
            <w:r>
              <w:rPr>
                <w:rFonts w:hint="eastAsia" w:ascii="Times New Roman" w:hAnsi="宋体"/>
                <w:szCs w:val="21"/>
              </w:rPr>
              <w:t>腐蚀性□</w:t>
            </w:r>
          </w:p>
          <w:p>
            <w:pPr>
              <w:spacing w:line="240" w:lineRule="exact"/>
              <w:rPr>
                <w:rFonts w:ascii="Times New Roman" w:hAnsi="宋体"/>
                <w:szCs w:val="21"/>
              </w:rPr>
            </w:pPr>
            <w:r>
              <w:rPr>
                <w:rFonts w:hint="eastAsia" w:ascii="Times New Roman" w:hAnsi="宋体"/>
                <w:szCs w:val="21"/>
              </w:rPr>
              <w:t>毒性□</w:t>
            </w:r>
          </w:p>
          <w:p>
            <w:pPr>
              <w:spacing w:line="240" w:lineRule="exact"/>
              <w:rPr>
                <w:rFonts w:ascii="Times New Roman" w:hAnsi="宋体"/>
                <w:szCs w:val="21"/>
              </w:rPr>
            </w:pPr>
            <w:r>
              <w:rPr>
                <w:rFonts w:hint="eastAsia" w:ascii="Times New Roman" w:hAnsi="宋体"/>
                <w:szCs w:val="21"/>
              </w:rPr>
              <w:t>易燃性□</w:t>
            </w:r>
          </w:p>
          <w:p>
            <w:pPr>
              <w:spacing w:line="240" w:lineRule="exact"/>
              <w:rPr>
                <w:rFonts w:ascii="Times New Roman" w:hAnsi="宋体"/>
                <w:szCs w:val="21"/>
              </w:rPr>
            </w:pPr>
            <w:r>
              <w:rPr>
                <w:rFonts w:hint="eastAsia" w:ascii="Times New Roman" w:hAnsi="宋体"/>
                <w:szCs w:val="21"/>
              </w:rPr>
              <w:t>反应性□</w:t>
            </w:r>
          </w:p>
          <w:p>
            <w:pPr>
              <w:spacing w:line="240" w:lineRule="exact"/>
              <w:rPr>
                <w:rFonts w:ascii="Times New Roman" w:hAnsi="宋体"/>
                <w:szCs w:val="21"/>
              </w:rPr>
            </w:pPr>
            <w:r>
              <w:rPr>
                <w:rFonts w:hint="eastAsia" w:ascii="Times New Roman" w:hAnsi="宋体"/>
                <w:szCs w:val="21"/>
              </w:rPr>
              <w:t>感染性□</w:t>
            </w:r>
          </w:p>
        </w:tc>
        <w:tc>
          <w:tcPr>
            <w:tcW w:w="2478" w:type="dxa"/>
            <w:vMerge w:val="restart"/>
            <w:vAlign w:val="center"/>
          </w:tcPr>
          <w:p>
            <w:pPr>
              <w:spacing w:line="240" w:lineRule="exact"/>
              <w:rPr>
                <w:rFonts w:ascii="Times New Roman" w:hAnsi="宋体"/>
                <w:szCs w:val="21"/>
              </w:rPr>
            </w:pPr>
            <w:r>
              <w:rPr>
                <w:rFonts w:hint="eastAsia" w:ascii="Times New Roman" w:hAnsi="宋体"/>
                <w:szCs w:val="21"/>
              </w:rPr>
              <w:t>固态□</w:t>
            </w:r>
          </w:p>
          <w:p>
            <w:pPr>
              <w:spacing w:line="240" w:lineRule="exact"/>
              <w:rPr>
                <w:rFonts w:ascii="Times New Roman" w:hAnsi="宋体"/>
                <w:szCs w:val="21"/>
              </w:rPr>
            </w:pPr>
            <w:r>
              <w:rPr>
                <w:rFonts w:hint="eastAsia" w:ascii="Times New Roman" w:hAnsi="宋体"/>
                <w:szCs w:val="21"/>
              </w:rPr>
              <w:t>半固态□</w:t>
            </w:r>
          </w:p>
          <w:p>
            <w:pPr>
              <w:spacing w:line="240" w:lineRule="exact"/>
              <w:rPr>
                <w:rFonts w:ascii="Times New Roman" w:hAnsi="宋体"/>
                <w:szCs w:val="21"/>
              </w:rPr>
            </w:pPr>
            <w:r>
              <w:rPr>
                <w:rFonts w:hint="eastAsia" w:ascii="Times New Roman" w:hAnsi="宋体"/>
                <w:szCs w:val="21"/>
              </w:rPr>
              <w:t>粉末态□</w:t>
            </w:r>
          </w:p>
          <w:p>
            <w:pPr>
              <w:spacing w:line="240" w:lineRule="exact"/>
              <w:rPr>
                <w:rFonts w:ascii="Times New Roman" w:hAnsi="宋体"/>
                <w:szCs w:val="21"/>
              </w:rPr>
            </w:pPr>
            <w:r>
              <w:rPr>
                <w:rFonts w:hint="eastAsia" w:ascii="Times New Roman" w:hAnsi="宋体"/>
                <w:szCs w:val="21"/>
              </w:rPr>
              <w:t>颗粒态□</w:t>
            </w:r>
          </w:p>
          <w:p>
            <w:pPr>
              <w:spacing w:line="240" w:lineRule="exact"/>
              <w:rPr>
                <w:rFonts w:ascii="Times New Roman" w:hAnsi="宋体"/>
                <w:szCs w:val="21"/>
              </w:rPr>
            </w:pPr>
            <w:r>
              <w:rPr>
                <w:rFonts w:hint="eastAsia" w:ascii="Times New Roman" w:hAnsi="宋体"/>
                <w:szCs w:val="21"/>
              </w:rPr>
              <w:t>液态□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rPr>
        <w:tc>
          <w:tcPr>
            <w:tcW w:w="1851" w:type="dxa"/>
            <w:vMerge w:val="continue"/>
          </w:tcPr>
          <w:p>
            <w:pPr>
              <w:rPr>
                <w:rFonts w:ascii="Times New Roman" w:hAnsi="Times New Roman"/>
                <w:szCs w:val="21"/>
              </w:rPr>
            </w:pPr>
          </w:p>
        </w:tc>
        <w:tc>
          <w:tcPr>
            <w:tcW w:w="1803" w:type="dxa"/>
          </w:tcPr>
          <w:p>
            <w:pPr>
              <w:rPr>
                <w:rFonts w:ascii="Times New Roman" w:hAnsi="Times New Roman"/>
                <w:szCs w:val="21"/>
              </w:rPr>
            </w:pPr>
          </w:p>
        </w:tc>
        <w:tc>
          <w:tcPr>
            <w:tcW w:w="1809" w:type="dxa"/>
          </w:tcPr>
          <w:p>
            <w:pPr>
              <w:rPr>
                <w:rFonts w:ascii="Times New Roman" w:hAnsi="Times New Roman"/>
                <w:szCs w:val="21"/>
              </w:rPr>
            </w:pPr>
          </w:p>
        </w:tc>
        <w:tc>
          <w:tcPr>
            <w:tcW w:w="2151" w:type="dxa"/>
            <w:vMerge w:val="continue"/>
            <w:vAlign w:val="center"/>
          </w:tcPr>
          <w:p>
            <w:pPr>
              <w:spacing w:line="240" w:lineRule="exact"/>
              <w:rPr>
                <w:rFonts w:ascii="Times New Roman" w:hAnsi="宋体"/>
                <w:szCs w:val="21"/>
              </w:rPr>
            </w:pPr>
          </w:p>
        </w:tc>
        <w:tc>
          <w:tcPr>
            <w:tcW w:w="2478" w:type="dxa"/>
            <w:vMerge w:val="continue"/>
            <w:vAlign w:val="center"/>
          </w:tcPr>
          <w:p>
            <w:pPr>
              <w:spacing w:line="240" w:lineRule="exact"/>
              <w:rPr>
                <w:rFonts w:ascii="Times New Roman"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rPr>
        <w:tc>
          <w:tcPr>
            <w:tcW w:w="1851" w:type="dxa"/>
            <w:vMerge w:val="continue"/>
          </w:tcPr>
          <w:p>
            <w:pPr>
              <w:rPr>
                <w:rFonts w:ascii="Times New Roman" w:hAnsi="Times New Roman"/>
                <w:szCs w:val="21"/>
              </w:rPr>
            </w:pPr>
          </w:p>
        </w:tc>
        <w:tc>
          <w:tcPr>
            <w:tcW w:w="1803" w:type="dxa"/>
          </w:tcPr>
          <w:p>
            <w:pPr>
              <w:rPr>
                <w:rFonts w:ascii="Times New Roman" w:hAnsi="Times New Roman"/>
                <w:szCs w:val="21"/>
              </w:rPr>
            </w:pPr>
          </w:p>
        </w:tc>
        <w:tc>
          <w:tcPr>
            <w:tcW w:w="1809" w:type="dxa"/>
          </w:tcPr>
          <w:p>
            <w:pPr>
              <w:rPr>
                <w:rFonts w:ascii="Times New Roman" w:hAnsi="Times New Roman"/>
                <w:szCs w:val="21"/>
              </w:rPr>
            </w:pPr>
          </w:p>
        </w:tc>
        <w:tc>
          <w:tcPr>
            <w:tcW w:w="2151" w:type="dxa"/>
            <w:vMerge w:val="continue"/>
            <w:vAlign w:val="center"/>
          </w:tcPr>
          <w:p>
            <w:pPr>
              <w:spacing w:line="240" w:lineRule="exact"/>
              <w:rPr>
                <w:rFonts w:ascii="Times New Roman" w:hAnsi="宋体"/>
                <w:szCs w:val="21"/>
              </w:rPr>
            </w:pPr>
          </w:p>
        </w:tc>
        <w:tc>
          <w:tcPr>
            <w:tcW w:w="2478" w:type="dxa"/>
            <w:vMerge w:val="continue"/>
            <w:vAlign w:val="center"/>
          </w:tcPr>
          <w:p>
            <w:pPr>
              <w:spacing w:line="240" w:lineRule="exact"/>
              <w:rPr>
                <w:rFonts w:ascii="Times New Roman"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rPr>
        <w:tc>
          <w:tcPr>
            <w:tcW w:w="1851" w:type="dxa"/>
            <w:vMerge w:val="continue"/>
          </w:tcPr>
          <w:p>
            <w:pPr>
              <w:rPr>
                <w:rFonts w:ascii="Times New Roman" w:hAnsi="Times New Roman"/>
                <w:szCs w:val="21"/>
              </w:rPr>
            </w:pPr>
          </w:p>
        </w:tc>
        <w:tc>
          <w:tcPr>
            <w:tcW w:w="1803" w:type="dxa"/>
          </w:tcPr>
          <w:p>
            <w:pPr>
              <w:rPr>
                <w:rFonts w:ascii="Times New Roman" w:hAnsi="Times New Roman"/>
                <w:szCs w:val="21"/>
              </w:rPr>
            </w:pPr>
          </w:p>
        </w:tc>
        <w:tc>
          <w:tcPr>
            <w:tcW w:w="1809" w:type="dxa"/>
          </w:tcPr>
          <w:p>
            <w:pPr>
              <w:rPr>
                <w:rFonts w:ascii="Times New Roman" w:hAnsi="Times New Roman"/>
                <w:szCs w:val="21"/>
              </w:rPr>
            </w:pPr>
          </w:p>
        </w:tc>
        <w:tc>
          <w:tcPr>
            <w:tcW w:w="2151" w:type="dxa"/>
            <w:vMerge w:val="continue"/>
            <w:vAlign w:val="center"/>
          </w:tcPr>
          <w:p>
            <w:pPr>
              <w:spacing w:line="240" w:lineRule="exact"/>
              <w:rPr>
                <w:rFonts w:ascii="Times New Roman" w:hAnsi="宋体"/>
                <w:szCs w:val="21"/>
              </w:rPr>
            </w:pPr>
          </w:p>
        </w:tc>
        <w:tc>
          <w:tcPr>
            <w:tcW w:w="2478" w:type="dxa"/>
            <w:vMerge w:val="continue"/>
            <w:vAlign w:val="center"/>
          </w:tcPr>
          <w:p>
            <w:pPr>
              <w:spacing w:line="240" w:lineRule="exact"/>
              <w:rPr>
                <w:rFonts w:ascii="Times New Roman"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rPr>
        <w:tc>
          <w:tcPr>
            <w:tcW w:w="1851" w:type="dxa"/>
            <w:vMerge w:val="continue"/>
          </w:tcPr>
          <w:p>
            <w:pPr>
              <w:rPr>
                <w:rFonts w:ascii="Times New Roman" w:hAnsi="Times New Roman"/>
                <w:szCs w:val="21"/>
              </w:rPr>
            </w:pPr>
          </w:p>
        </w:tc>
        <w:tc>
          <w:tcPr>
            <w:tcW w:w="1803" w:type="dxa"/>
          </w:tcPr>
          <w:p>
            <w:pPr>
              <w:rPr>
                <w:rFonts w:ascii="Times New Roman" w:hAnsi="Times New Roman"/>
                <w:szCs w:val="21"/>
              </w:rPr>
            </w:pPr>
          </w:p>
        </w:tc>
        <w:tc>
          <w:tcPr>
            <w:tcW w:w="1809" w:type="dxa"/>
          </w:tcPr>
          <w:p>
            <w:pPr>
              <w:rPr>
                <w:rFonts w:ascii="Times New Roman" w:hAnsi="Times New Roman"/>
                <w:szCs w:val="21"/>
              </w:rPr>
            </w:pPr>
          </w:p>
        </w:tc>
        <w:tc>
          <w:tcPr>
            <w:tcW w:w="2151" w:type="dxa"/>
            <w:vMerge w:val="continue"/>
            <w:vAlign w:val="center"/>
          </w:tcPr>
          <w:p>
            <w:pPr>
              <w:spacing w:line="240" w:lineRule="exact"/>
              <w:rPr>
                <w:rFonts w:ascii="Times New Roman" w:hAnsi="宋体"/>
                <w:szCs w:val="21"/>
              </w:rPr>
            </w:pPr>
          </w:p>
        </w:tc>
        <w:tc>
          <w:tcPr>
            <w:tcW w:w="2478" w:type="dxa"/>
            <w:vMerge w:val="continue"/>
            <w:vAlign w:val="center"/>
          </w:tcPr>
          <w:p>
            <w:pPr>
              <w:spacing w:line="240" w:lineRule="exact"/>
              <w:rPr>
                <w:rFonts w:ascii="Times New Roman"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trPr>
        <w:tc>
          <w:tcPr>
            <w:tcW w:w="1851" w:type="dxa"/>
            <w:vMerge w:val="restart"/>
          </w:tcPr>
          <w:p>
            <w:pPr>
              <w:rPr>
                <w:rFonts w:ascii="Times New Roman" w:hAnsi="Times New Roman"/>
                <w:szCs w:val="21"/>
              </w:rPr>
            </w:pPr>
          </w:p>
          <w:p>
            <w:pPr>
              <w:rPr>
                <w:rFonts w:ascii="Times New Roman" w:hAnsi="Times New Roman"/>
                <w:szCs w:val="21"/>
              </w:rPr>
            </w:pPr>
          </w:p>
          <w:p>
            <w:pPr>
              <w:rPr>
                <w:rFonts w:ascii="Times New Roman" w:hAnsi="Times New Roman"/>
                <w:szCs w:val="21"/>
              </w:rPr>
            </w:pPr>
          </w:p>
          <w:p>
            <w:pPr>
              <w:rPr>
                <w:rFonts w:ascii="Times New Roman" w:hAnsi="Times New Roman"/>
                <w:szCs w:val="21"/>
              </w:rPr>
            </w:pPr>
          </w:p>
        </w:tc>
        <w:tc>
          <w:tcPr>
            <w:tcW w:w="1803" w:type="dxa"/>
          </w:tcPr>
          <w:p>
            <w:pPr>
              <w:rPr>
                <w:rFonts w:ascii="Times New Roman" w:hAnsi="Times New Roman"/>
                <w:szCs w:val="21"/>
              </w:rPr>
            </w:pPr>
          </w:p>
        </w:tc>
        <w:tc>
          <w:tcPr>
            <w:tcW w:w="1809" w:type="dxa"/>
          </w:tcPr>
          <w:p>
            <w:pPr>
              <w:rPr>
                <w:rFonts w:ascii="Times New Roman" w:hAnsi="Times New Roman"/>
                <w:szCs w:val="21"/>
              </w:rPr>
            </w:pPr>
          </w:p>
        </w:tc>
        <w:tc>
          <w:tcPr>
            <w:tcW w:w="2151" w:type="dxa"/>
            <w:vMerge w:val="restart"/>
            <w:vAlign w:val="center"/>
          </w:tcPr>
          <w:p>
            <w:pPr>
              <w:spacing w:line="240" w:lineRule="exact"/>
              <w:rPr>
                <w:rFonts w:ascii="Times New Roman" w:hAnsi="宋体"/>
                <w:szCs w:val="21"/>
              </w:rPr>
            </w:pPr>
            <w:r>
              <w:rPr>
                <w:rFonts w:hint="eastAsia" w:ascii="Times New Roman" w:hAnsi="宋体"/>
                <w:szCs w:val="21"/>
              </w:rPr>
              <w:t>腐蚀性□</w:t>
            </w:r>
          </w:p>
          <w:p>
            <w:pPr>
              <w:spacing w:line="240" w:lineRule="exact"/>
              <w:rPr>
                <w:rFonts w:ascii="Times New Roman" w:hAnsi="宋体"/>
                <w:szCs w:val="21"/>
              </w:rPr>
            </w:pPr>
            <w:r>
              <w:rPr>
                <w:rFonts w:hint="eastAsia" w:ascii="Times New Roman" w:hAnsi="宋体"/>
                <w:szCs w:val="21"/>
              </w:rPr>
              <w:t>毒性□</w:t>
            </w:r>
          </w:p>
          <w:p>
            <w:pPr>
              <w:spacing w:line="240" w:lineRule="exact"/>
              <w:rPr>
                <w:rFonts w:ascii="Times New Roman" w:hAnsi="宋体"/>
                <w:szCs w:val="21"/>
              </w:rPr>
            </w:pPr>
            <w:r>
              <w:rPr>
                <w:rFonts w:hint="eastAsia" w:ascii="Times New Roman" w:hAnsi="宋体"/>
                <w:szCs w:val="21"/>
              </w:rPr>
              <w:t>易燃性□</w:t>
            </w:r>
          </w:p>
          <w:p>
            <w:pPr>
              <w:spacing w:line="240" w:lineRule="exact"/>
              <w:rPr>
                <w:rFonts w:ascii="Times New Roman" w:hAnsi="宋体"/>
                <w:szCs w:val="21"/>
              </w:rPr>
            </w:pPr>
            <w:r>
              <w:rPr>
                <w:rFonts w:hint="eastAsia" w:ascii="Times New Roman" w:hAnsi="宋体"/>
                <w:szCs w:val="21"/>
              </w:rPr>
              <w:t>反应性□</w:t>
            </w:r>
          </w:p>
          <w:p>
            <w:pPr>
              <w:spacing w:line="240" w:lineRule="exact"/>
              <w:rPr>
                <w:rFonts w:ascii="Times New Roman" w:hAnsi="宋体"/>
                <w:szCs w:val="21"/>
              </w:rPr>
            </w:pPr>
            <w:r>
              <w:rPr>
                <w:rFonts w:hint="eastAsia" w:ascii="Times New Roman" w:hAnsi="宋体"/>
                <w:szCs w:val="21"/>
              </w:rPr>
              <w:t>感染性□</w:t>
            </w:r>
          </w:p>
        </w:tc>
        <w:tc>
          <w:tcPr>
            <w:tcW w:w="2478" w:type="dxa"/>
            <w:vMerge w:val="restart"/>
            <w:vAlign w:val="center"/>
          </w:tcPr>
          <w:p>
            <w:pPr>
              <w:spacing w:line="240" w:lineRule="exact"/>
              <w:rPr>
                <w:rFonts w:ascii="Times New Roman" w:hAnsi="宋体"/>
                <w:szCs w:val="21"/>
              </w:rPr>
            </w:pPr>
            <w:r>
              <w:rPr>
                <w:rFonts w:hint="eastAsia" w:ascii="Times New Roman" w:hAnsi="宋体"/>
                <w:szCs w:val="21"/>
              </w:rPr>
              <w:t>固态□</w:t>
            </w:r>
          </w:p>
          <w:p>
            <w:pPr>
              <w:spacing w:line="240" w:lineRule="exact"/>
              <w:rPr>
                <w:rFonts w:ascii="Times New Roman" w:hAnsi="宋体"/>
                <w:szCs w:val="21"/>
              </w:rPr>
            </w:pPr>
            <w:r>
              <w:rPr>
                <w:rFonts w:hint="eastAsia" w:ascii="Times New Roman" w:hAnsi="宋体"/>
                <w:szCs w:val="21"/>
              </w:rPr>
              <w:t>半固态□</w:t>
            </w:r>
          </w:p>
          <w:p>
            <w:pPr>
              <w:spacing w:line="240" w:lineRule="exact"/>
              <w:rPr>
                <w:rFonts w:ascii="Times New Roman" w:hAnsi="宋体"/>
                <w:szCs w:val="21"/>
              </w:rPr>
            </w:pPr>
            <w:r>
              <w:rPr>
                <w:rFonts w:hint="eastAsia" w:ascii="Times New Roman" w:hAnsi="宋体"/>
                <w:szCs w:val="21"/>
              </w:rPr>
              <w:t>粉末态□</w:t>
            </w:r>
          </w:p>
          <w:p>
            <w:pPr>
              <w:spacing w:line="240" w:lineRule="exact"/>
              <w:rPr>
                <w:rFonts w:ascii="Times New Roman" w:hAnsi="宋体"/>
                <w:szCs w:val="21"/>
              </w:rPr>
            </w:pPr>
            <w:r>
              <w:rPr>
                <w:rFonts w:hint="eastAsia" w:ascii="Times New Roman" w:hAnsi="宋体"/>
                <w:szCs w:val="21"/>
              </w:rPr>
              <w:t>颗粒态□</w:t>
            </w:r>
          </w:p>
          <w:p>
            <w:pPr>
              <w:spacing w:line="240" w:lineRule="exact"/>
              <w:rPr>
                <w:rFonts w:ascii="Times New Roman" w:hAnsi="宋体"/>
                <w:szCs w:val="21"/>
              </w:rPr>
            </w:pPr>
            <w:r>
              <w:rPr>
                <w:rFonts w:hint="eastAsia" w:ascii="Times New Roman" w:hAnsi="宋体"/>
                <w:szCs w:val="21"/>
              </w:rPr>
              <w:t>液态□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trPr>
        <w:tc>
          <w:tcPr>
            <w:tcW w:w="1851" w:type="dxa"/>
            <w:vMerge w:val="continue"/>
          </w:tcPr>
          <w:p>
            <w:pPr>
              <w:rPr>
                <w:rFonts w:ascii="Times New Roman" w:hAnsi="Times New Roman"/>
                <w:szCs w:val="21"/>
              </w:rPr>
            </w:pPr>
          </w:p>
        </w:tc>
        <w:tc>
          <w:tcPr>
            <w:tcW w:w="1803" w:type="dxa"/>
          </w:tcPr>
          <w:p>
            <w:pPr>
              <w:rPr>
                <w:rFonts w:ascii="Times New Roman" w:hAnsi="Times New Roman"/>
                <w:szCs w:val="21"/>
              </w:rPr>
            </w:pPr>
          </w:p>
        </w:tc>
        <w:tc>
          <w:tcPr>
            <w:tcW w:w="1809" w:type="dxa"/>
          </w:tcPr>
          <w:p>
            <w:pPr>
              <w:rPr>
                <w:rFonts w:ascii="Times New Roman" w:hAnsi="Times New Roman"/>
                <w:szCs w:val="21"/>
              </w:rPr>
            </w:pPr>
          </w:p>
        </w:tc>
        <w:tc>
          <w:tcPr>
            <w:tcW w:w="2151" w:type="dxa"/>
            <w:vMerge w:val="continue"/>
            <w:vAlign w:val="center"/>
          </w:tcPr>
          <w:p>
            <w:pPr>
              <w:spacing w:line="240" w:lineRule="exact"/>
              <w:rPr>
                <w:rFonts w:ascii="Times New Roman" w:hAnsi="宋体"/>
                <w:szCs w:val="21"/>
              </w:rPr>
            </w:pPr>
          </w:p>
        </w:tc>
        <w:tc>
          <w:tcPr>
            <w:tcW w:w="2478" w:type="dxa"/>
            <w:vMerge w:val="continue"/>
            <w:vAlign w:val="center"/>
          </w:tcPr>
          <w:p>
            <w:pPr>
              <w:spacing w:line="240" w:lineRule="exact"/>
              <w:rPr>
                <w:rFonts w:ascii="Times New Roman"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trPr>
        <w:tc>
          <w:tcPr>
            <w:tcW w:w="1851" w:type="dxa"/>
            <w:vMerge w:val="continue"/>
          </w:tcPr>
          <w:p>
            <w:pPr>
              <w:rPr>
                <w:rFonts w:ascii="Times New Roman" w:hAnsi="Times New Roman"/>
                <w:szCs w:val="21"/>
              </w:rPr>
            </w:pPr>
          </w:p>
        </w:tc>
        <w:tc>
          <w:tcPr>
            <w:tcW w:w="1803" w:type="dxa"/>
          </w:tcPr>
          <w:p>
            <w:pPr>
              <w:rPr>
                <w:rFonts w:ascii="Times New Roman" w:hAnsi="Times New Roman"/>
                <w:szCs w:val="21"/>
              </w:rPr>
            </w:pPr>
          </w:p>
        </w:tc>
        <w:tc>
          <w:tcPr>
            <w:tcW w:w="1809" w:type="dxa"/>
          </w:tcPr>
          <w:p>
            <w:pPr>
              <w:rPr>
                <w:rFonts w:ascii="Times New Roman" w:hAnsi="Times New Roman"/>
                <w:szCs w:val="21"/>
              </w:rPr>
            </w:pPr>
          </w:p>
        </w:tc>
        <w:tc>
          <w:tcPr>
            <w:tcW w:w="2151" w:type="dxa"/>
            <w:vMerge w:val="continue"/>
            <w:vAlign w:val="center"/>
          </w:tcPr>
          <w:p>
            <w:pPr>
              <w:spacing w:line="240" w:lineRule="exact"/>
              <w:rPr>
                <w:rFonts w:ascii="Times New Roman" w:hAnsi="宋体"/>
                <w:szCs w:val="21"/>
              </w:rPr>
            </w:pPr>
          </w:p>
        </w:tc>
        <w:tc>
          <w:tcPr>
            <w:tcW w:w="2478" w:type="dxa"/>
            <w:vMerge w:val="continue"/>
            <w:vAlign w:val="center"/>
          </w:tcPr>
          <w:p>
            <w:pPr>
              <w:spacing w:line="240" w:lineRule="exact"/>
              <w:rPr>
                <w:rFonts w:ascii="Times New Roman"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trPr>
        <w:tc>
          <w:tcPr>
            <w:tcW w:w="1851" w:type="dxa"/>
            <w:vMerge w:val="continue"/>
          </w:tcPr>
          <w:p>
            <w:pPr>
              <w:rPr>
                <w:rFonts w:ascii="Times New Roman" w:hAnsi="Times New Roman"/>
                <w:szCs w:val="21"/>
              </w:rPr>
            </w:pPr>
          </w:p>
        </w:tc>
        <w:tc>
          <w:tcPr>
            <w:tcW w:w="1803" w:type="dxa"/>
          </w:tcPr>
          <w:p>
            <w:pPr>
              <w:rPr>
                <w:rFonts w:ascii="Times New Roman" w:hAnsi="Times New Roman"/>
                <w:szCs w:val="21"/>
              </w:rPr>
            </w:pPr>
          </w:p>
        </w:tc>
        <w:tc>
          <w:tcPr>
            <w:tcW w:w="1809" w:type="dxa"/>
          </w:tcPr>
          <w:p>
            <w:pPr>
              <w:rPr>
                <w:rFonts w:ascii="Times New Roman" w:hAnsi="Times New Roman"/>
                <w:szCs w:val="21"/>
              </w:rPr>
            </w:pPr>
          </w:p>
        </w:tc>
        <w:tc>
          <w:tcPr>
            <w:tcW w:w="2151" w:type="dxa"/>
            <w:vMerge w:val="continue"/>
            <w:vAlign w:val="center"/>
          </w:tcPr>
          <w:p>
            <w:pPr>
              <w:spacing w:line="240" w:lineRule="exact"/>
              <w:rPr>
                <w:rFonts w:ascii="Times New Roman" w:hAnsi="宋体"/>
                <w:szCs w:val="21"/>
              </w:rPr>
            </w:pPr>
          </w:p>
        </w:tc>
        <w:tc>
          <w:tcPr>
            <w:tcW w:w="2478" w:type="dxa"/>
            <w:vMerge w:val="continue"/>
            <w:vAlign w:val="center"/>
          </w:tcPr>
          <w:p>
            <w:pPr>
              <w:spacing w:line="240" w:lineRule="exact"/>
              <w:rPr>
                <w:rFonts w:ascii="Times New Roman"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trPr>
        <w:tc>
          <w:tcPr>
            <w:tcW w:w="1851" w:type="dxa"/>
            <w:vMerge w:val="continue"/>
          </w:tcPr>
          <w:p>
            <w:pPr>
              <w:rPr>
                <w:rFonts w:ascii="Times New Roman" w:hAnsi="Times New Roman"/>
                <w:szCs w:val="21"/>
              </w:rPr>
            </w:pPr>
          </w:p>
        </w:tc>
        <w:tc>
          <w:tcPr>
            <w:tcW w:w="1803" w:type="dxa"/>
          </w:tcPr>
          <w:p>
            <w:pPr>
              <w:rPr>
                <w:rFonts w:ascii="Times New Roman" w:hAnsi="Times New Roman"/>
                <w:szCs w:val="21"/>
              </w:rPr>
            </w:pPr>
          </w:p>
        </w:tc>
        <w:tc>
          <w:tcPr>
            <w:tcW w:w="1809" w:type="dxa"/>
          </w:tcPr>
          <w:p>
            <w:pPr>
              <w:rPr>
                <w:rFonts w:ascii="Times New Roman" w:hAnsi="Times New Roman"/>
                <w:szCs w:val="21"/>
              </w:rPr>
            </w:pPr>
          </w:p>
        </w:tc>
        <w:tc>
          <w:tcPr>
            <w:tcW w:w="2151" w:type="dxa"/>
            <w:vMerge w:val="continue"/>
            <w:vAlign w:val="center"/>
          </w:tcPr>
          <w:p>
            <w:pPr>
              <w:spacing w:line="240" w:lineRule="exact"/>
              <w:rPr>
                <w:rFonts w:ascii="Times New Roman" w:hAnsi="宋体"/>
                <w:szCs w:val="21"/>
              </w:rPr>
            </w:pPr>
          </w:p>
        </w:tc>
        <w:tc>
          <w:tcPr>
            <w:tcW w:w="2478" w:type="dxa"/>
            <w:vMerge w:val="continue"/>
            <w:vAlign w:val="center"/>
          </w:tcPr>
          <w:p>
            <w:pPr>
              <w:spacing w:line="240" w:lineRule="exact"/>
              <w:rPr>
                <w:rFonts w:ascii="Times New Roman" w:hAnsi="宋体"/>
                <w:szCs w:val="21"/>
              </w:rPr>
            </w:pPr>
          </w:p>
        </w:tc>
      </w:tr>
    </w:tbl>
    <w:p>
      <w:pPr>
        <w:rPr>
          <w:rFonts w:ascii="Times New Roman" w:eastAsia="黑体"/>
          <w:sz w:val="28"/>
          <w:szCs w:val="28"/>
        </w:rPr>
      </w:pPr>
    </w:p>
    <w:p>
      <w:pPr>
        <w:rPr>
          <w:rFonts w:ascii="Times New Roman" w:hAnsi="Times New Roman" w:eastAsia="黑体"/>
          <w:sz w:val="28"/>
          <w:szCs w:val="28"/>
        </w:rPr>
      </w:pPr>
      <w:r>
        <w:rPr>
          <w:rFonts w:hint="eastAsia" w:ascii="Times New Roman" w:eastAsia="黑体"/>
          <w:sz w:val="28"/>
          <w:szCs w:val="28"/>
        </w:rPr>
        <w:t>第二部分：废物包装、运输情况</w:t>
      </w:r>
    </w:p>
    <w:tbl>
      <w:tblPr>
        <w:tblStyle w:val="6"/>
        <w:tblW w:w="9885"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1634"/>
        <w:gridCol w:w="2075"/>
        <w:gridCol w:w="1421"/>
        <w:gridCol w:w="1379"/>
        <w:gridCol w:w="2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9885" w:type="dxa"/>
            <w:gridSpan w:val="6"/>
            <w:vAlign w:val="center"/>
          </w:tcPr>
          <w:p>
            <w:pPr>
              <w:rPr>
                <w:rFonts w:ascii="Times New Roman" w:hAnsi="Times New Roman"/>
                <w:b/>
                <w:bCs/>
              </w:rPr>
            </w:pPr>
            <w:r>
              <w:rPr>
                <w:rFonts w:hint="eastAsia" w:ascii="Times New Roman"/>
                <w:b/>
                <w:bCs/>
              </w:rPr>
              <w:t>表</w:t>
            </w:r>
            <w:r>
              <w:rPr>
                <w:rFonts w:ascii="Times New Roman" w:hAnsi="Times New Roman"/>
                <w:b/>
                <w:bCs/>
              </w:rPr>
              <w:t xml:space="preserve">1   </w:t>
            </w:r>
            <w:r>
              <w:rPr>
                <w:rFonts w:hint="eastAsia" w:ascii="Times New Roman"/>
                <w:b/>
                <w:bCs/>
              </w:rPr>
              <w:t>废物包装情况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015" w:type="dxa"/>
            <w:vAlign w:val="center"/>
          </w:tcPr>
          <w:p>
            <w:pPr>
              <w:jc w:val="center"/>
              <w:rPr>
                <w:rFonts w:ascii="Times New Roman" w:hAnsi="Times New Roman"/>
              </w:rPr>
            </w:pPr>
            <w:r>
              <w:rPr>
                <w:rFonts w:hint="eastAsia" w:ascii="Times New Roman"/>
              </w:rPr>
              <w:t>序号</w:t>
            </w:r>
          </w:p>
        </w:tc>
        <w:tc>
          <w:tcPr>
            <w:tcW w:w="1634" w:type="dxa"/>
            <w:vAlign w:val="center"/>
          </w:tcPr>
          <w:p>
            <w:pPr>
              <w:jc w:val="center"/>
              <w:rPr>
                <w:rFonts w:ascii="Times New Roman" w:hAnsi="Times New Roman"/>
              </w:rPr>
            </w:pPr>
            <w:r>
              <w:rPr>
                <w:rFonts w:hint="eastAsia" w:ascii="Times New Roman"/>
              </w:rPr>
              <w:t>废物名称</w:t>
            </w:r>
          </w:p>
        </w:tc>
        <w:tc>
          <w:tcPr>
            <w:tcW w:w="2075" w:type="dxa"/>
            <w:vAlign w:val="center"/>
          </w:tcPr>
          <w:p>
            <w:pPr>
              <w:jc w:val="center"/>
              <w:rPr>
                <w:rFonts w:ascii="Times New Roman" w:hAnsi="Times New Roman"/>
              </w:rPr>
            </w:pPr>
            <w:r>
              <w:rPr>
                <w:rFonts w:hint="eastAsia" w:ascii="Times New Roman"/>
              </w:rPr>
              <w:t>包装物（容器）名称</w:t>
            </w:r>
          </w:p>
        </w:tc>
        <w:tc>
          <w:tcPr>
            <w:tcW w:w="1421" w:type="dxa"/>
            <w:vAlign w:val="center"/>
          </w:tcPr>
          <w:p>
            <w:pPr>
              <w:jc w:val="center"/>
              <w:rPr>
                <w:rFonts w:ascii="Times New Roman" w:hAnsi="Times New Roman"/>
              </w:rPr>
            </w:pPr>
            <w:r>
              <w:rPr>
                <w:rFonts w:hint="eastAsia" w:ascii="Times New Roman"/>
              </w:rPr>
              <w:t>材质</w:t>
            </w:r>
          </w:p>
        </w:tc>
        <w:tc>
          <w:tcPr>
            <w:tcW w:w="1379" w:type="dxa"/>
            <w:vAlign w:val="center"/>
          </w:tcPr>
          <w:p>
            <w:pPr>
              <w:jc w:val="center"/>
              <w:rPr>
                <w:rFonts w:ascii="Times New Roman" w:hAnsi="Times New Roman"/>
              </w:rPr>
            </w:pPr>
            <w:r>
              <w:rPr>
                <w:rFonts w:hint="eastAsia" w:ascii="Times New Roman"/>
              </w:rPr>
              <w:t>容积</w:t>
            </w:r>
          </w:p>
        </w:tc>
        <w:tc>
          <w:tcPr>
            <w:tcW w:w="2361" w:type="dxa"/>
            <w:vAlign w:val="center"/>
          </w:tcPr>
          <w:p>
            <w:pPr>
              <w:jc w:val="center"/>
              <w:rPr>
                <w:rFonts w:ascii="Times New Roman" w:hAnsi="Times New Roman"/>
              </w:rPr>
            </w:pPr>
            <w:r>
              <w:rPr>
                <w:rFonts w:hint="eastAsia" w:ascii="Times New Roman"/>
              </w:rPr>
              <w:t>是否有危废标签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15" w:type="dxa"/>
            <w:vAlign w:val="center"/>
          </w:tcPr>
          <w:p>
            <w:pPr>
              <w:jc w:val="center"/>
              <w:rPr>
                <w:rFonts w:ascii="Times New Roman" w:hAnsi="Times New Roman"/>
              </w:rPr>
            </w:pPr>
            <w:r>
              <w:rPr>
                <w:rFonts w:hint="eastAsia" w:ascii="Times New Roman" w:hAnsi="Times New Roman"/>
              </w:rPr>
              <w:t>1</w:t>
            </w:r>
          </w:p>
        </w:tc>
        <w:tc>
          <w:tcPr>
            <w:tcW w:w="1634" w:type="dxa"/>
            <w:vAlign w:val="center"/>
          </w:tcPr>
          <w:p>
            <w:pPr>
              <w:jc w:val="both"/>
              <w:rPr>
                <w:rFonts w:hint="eastAsia" w:ascii="Times New Roman" w:hAnsi="Times New Roman" w:eastAsia="微软雅黑"/>
                <w:lang w:eastAsia="zh-CN"/>
              </w:rPr>
            </w:pPr>
            <w:r>
              <w:rPr>
                <w:rFonts w:hint="eastAsia" w:ascii="Times New Roman" w:hAnsi="Times New Roman"/>
                <w:szCs w:val="21"/>
                <w:lang w:eastAsia="zh-CN"/>
              </w:rPr>
              <w:t>一般废水污泥</w:t>
            </w:r>
          </w:p>
        </w:tc>
        <w:tc>
          <w:tcPr>
            <w:tcW w:w="2075" w:type="dxa"/>
            <w:vAlign w:val="center"/>
          </w:tcPr>
          <w:p>
            <w:pPr>
              <w:jc w:val="center"/>
              <w:rPr>
                <w:rFonts w:ascii="Times New Roman" w:hAnsi="Times New Roman"/>
              </w:rPr>
            </w:pPr>
            <w:r>
              <w:rPr>
                <w:rFonts w:hint="eastAsia" w:ascii="Times New Roman" w:hAnsi="Times New Roman"/>
              </w:rPr>
              <w:t>吨袋</w:t>
            </w:r>
          </w:p>
        </w:tc>
        <w:tc>
          <w:tcPr>
            <w:tcW w:w="1421" w:type="dxa"/>
            <w:vAlign w:val="center"/>
          </w:tcPr>
          <w:p>
            <w:pPr>
              <w:jc w:val="center"/>
              <w:rPr>
                <w:rFonts w:ascii="Times New Roman" w:hAnsi="Times New Roman"/>
              </w:rPr>
            </w:pPr>
            <w:r>
              <w:rPr>
                <w:rFonts w:hint="eastAsia" w:ascii="Times New Roman" w:hAnsi="Times New Roman"/>
              </w:rPr>
              <w:t>PP</w:t>
            </w:r>
          </w:p>
        </w:tc>
        <w:tc>
          <w:tcPr>
            <w:tcW w:w="1379" w:type="dxa"/>
          </w:tcPr>
          <w:p>
            <w:pPr>
              <w:jc w:val="center"/>
              <w:rPr>
                <w:rFonts w:ascii="Times New Roman" w:hAnsi="Times New Roman"/>
              </w:rPr>
            </w:pPr>
            <w:r>
              <w:rPr>
                <w:rFonts w:hint="eastAsia" w:ascii="Times New Roman" w:hAnsi="Times New Roman"/>
              </w:rPr>
              <w:t>800~1000Kg</w:t>
            </w:r>
          </w:p>
        </w:tc>
        <w:tc>
          <w:tcPr>
            <w:tcW w:w="2361" w:type="dxa"/>
            <w:vAlign w:val="center"/>
          </w:tcPr>
          <w:p>
            <w:pPr>
              <w:jc w:val="center"/>
              <w:rPr>
                <w:rFonts w:ascii="Times New Roman" w:hAnsi="Times New Roman"/>
              </w:rPr>
            </w:pPr>
            <w:r>
              <w:rPr>
                <w:rFonts w:hint="eastAsia" w:ascii="Times New Roman" w:hAnsi="Times New Roma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015" w:type="dxa"/>
          </w:tcPr>
          <w:p>
            <w:pPr>
              <w:jc w:val="center"/>
              <w:rPr>
                <w:rFonts w:ascii="Times New Roman" w:hAnsi="Times New Roman"/>
              </w:rPr>
            </w:pPr>
          </w:p>
        </w:tc>
        <w:tc>
          <w:tcPr>
            <w:tcW w:w="1634" w:type="dxa"/>
          </w:tcPr>
          <w:p>
            <w:pPr>
              <w:rPr>
                <w:rFonts w:ascii="Times New Roman" w:hAnsi="Times New Roman"/>
              </w:rPr>
            </w:pPr>
          </w:p>
        </w:tc>
        <w:tc>
          <w:tcPr>
            <w:tcW w:w="2075" w:type="dxa"/>
            <w:vAlign w:val="center"/>
          </w:tcPr>
          <w:p>
            <w:pPr>
              <w:jc w:val="center"/>
              <w:rPr>
                <w:rFonts w:ascii="Times New Roman" w:hAnsi="Times New Roman"/>
              </w:rPr>
            </w:pPr>
          </w:p>
        </w:tc>
        <w:tc>
          <w:tcPr>
            <w:tcW w:w="1421" w:type="dxa"/>
            <w:vAlign w:val="center"/>
          </w:tcPr>
          <w:p>
            <w:pPr>
              <w:jc w:val="center"/>
              <w:rPr>
                <w:rFonts w:ascii="Times New Roman" w:hAnsi="Times New Roman"/>
              </w:rPr>
            </w:pPr>
          </w:p>
        </w:tc>
        <w:tc>
          <w:tcPr>
            <w:tcW w:w="1379" w:type="dxa"/>
          </w:tcPr>
          <w:p>
            <w:pPr>
              <w:jc w:val="center"/>
              <w:rPr>
                <w:rFonts w:ascii="Times New Roman" w:hAnsi="Times New Roman"/>
              </w:rPr>
            </w:pPr>
          </w:p>
        </w:tc>
        <w:tc>
          <w:tcPr>
            <w:tcW w:w="2361" w:type="dxa"/>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15" w:type="dxa"/>
          </w:tcPr>
          <w:p>
            <w:pPr>
              <w:jc w:val="center"/>
              <w:rPr>
                <w:rFonts w:ascii="Times New Roman" w:hAnsi="Times New Roman"/>
              </w:rPr>
            </w:pPr>
          </w:p>
        </w:tc>
        <w:tc>
          <w:tcPr>
            <w:tcW w:w="1634" w:type="dxa"/>
          </w:tcPr>
          <w:p>
            <w:pPr>
              <w:rPr>
                <w:rFonts w:ascii="Times New Roman" w:hAnsi="Times New Roman"/>
              </w:rPr>
            </w:pPr>
          </w:p>
        </w:tc>
        <w:tc>
          <w:tcPr>
            <w:tcW w:w="2075" w:type="dxa"/>
          </w:tcPr>
          <w:p>
            <w:pPr>
              <w:ind w:firstLine="550" w:firstLineChars="250"/>
              <w:rPr>
                <w:rFonts w:ascii="Times New Roman" w:hAnsi="Times New Roman"/>
              </w:rPr>
            </w:pPr>
          </w:p>
        </w:tc>
        <w:tc>
          <w:tcPr>
            <w:tcW w:w="1421" w:type="dxa"/>
          </w:tcPr>
          <w:p>
            <w:pPr>
              <w:ind w:firstLine="220" w:firstLineChars="100"/>
              <w:rPr>
                <w:rFonts w:ascii="Times New Roman" w:hAnsi="Times New Roman"/>
              </w:rPr>
            </w:pPr>
          </w:p>
        </w:tc>
        <w:tc>
          <w:tcPr>
            <w:tcW w:w="1379" w:type="dxa"/>
          </w:tcPr>
          <w:p>
            <w:pPr>
              <w:ind w:firstLine="220" w:firstLineChars="100"/>
              <w:rPr>
                <w:rFonts w:ascii="Times New Roman" w:hAnsi="Times New Roman"/>
              </w:rPr>
            </w:pPr>
          </w:p>
        </w:tc>
        <w:tc>
          <w:tcPr>
            <w:tcW w:w="2361" w:type="dxa"/>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15" w:type="dxa"/>
          </w:tcPr>
          <w:p>
            <w:pPr>
              <w:rPr>
                <w:rFonts w:ascii="Times New Roman" w:hAnsi="Times New Roman"/>
              </w:rPr>
            </w:pPr>
          </w:p>
        </w:tc>
        <w:tc>
          <w:tcPr>
            <w:tcW w:w="1634" w:type="dxa"/>
          </w:tcPr>
          <w:p>
            <w:pPr>
              <w:rPr>
                <w:rFonts w:ascii="Times New Roman" w:hAnsi="Times New Roman"/>
              </w:rPr>
            </w:pPr>
          </w:p>
        </w:tc>
        <w:tc>
          <w:tcPr>
            <w:tcW w:w="2075" w:type="dxa"/>
          </w:tcPr>
          <w:p>
            <w:pPr>
              <w:rPr>
                <w:rFonts w:ascii="Times New Roman" w:hAnsi="Times New Roman"/>
              </w:rPr>
            </w:pPr>
          </w:p>
        </w:tc>
        <w:tc>
          <w:tcPr>
            <w:tcW w:w="1421" w:type="dxa"/>
          </w:tcPr>
          <w:p>
            <w:pPr>
              <w:rPr>
                <w:rFonts w:ascii="Times New Roman" w:hAnsi="Times New Roman"/>
              </w:rPr>
            </w:pPr>
          </w:p>
        </w:tc>
        <w:tc>
          <w:tcPr>
            <w:tcW w:w="1379" w:type="dxa"/>
          </w:tcPr>
          <w:p>
            <w:pPr>
              <w:rPr>
                <w:rFonts w:ascii="Times New Roman" w:hAnsi="Times New Roman"/>
              </w:rPr>
            </w:pPr>
          </w:p>
        </w:tc>
        <w:tc>
          <w:tcPr>
            <w:tcW w:w="2361" w:type="dxa"/>
          </w:tcPr>
          <w:p>
            <w:pPr>
              <w:rPr>
                <w:rFonts w:ascii="Times New Roman" w:hAnsi="Times New Roman"/>
              </w:rPr>
            </w:pPr>
          </w:p>
        </w:tc>
      </w:tr>
    </w:tbl>
    <w:p>
      <w:pPr>
        <w:rPr>
          <w:rFonts w:ascii="Times New Roman" w:hAnsi="Times New Roman" w:eastAsia="黑体"/>
          <w:sz w:val="28"/>
          <w:szCs w:val="28"/>
        </w:rPr>
      </w:pPr>
    </w:p>
    <w:tbl>
      <w:tblPr>
        <w:tblStyle w:val="6"/>
        <w:tblW w:w="9885"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6" w:hRule="atLeast"/>
        </w:trPr>
        <w:tc>
          <w:tcPr>
            <w:tcW w:w="9885" w:type="dxa"/>
            <w:vAlign w:val="center"/>
          </w:tcPr>
          <w:p>
            <w:pPr>
              <w:rPr>
                <w:rFonts w:ascii="Times New Roman"/>
                <w:b/>
                <w:bCs/>
                <w:szCs w:val="24"/>
              </w:rPr>
            </w:pPr>
            <w:r>
              <w:rPr>
                <w:rFonts w:hint="eastAsia" w:ascii="Times New Roman"/>
                <w:b/>
                <w:bCs/>
                <w:szCs w:val="24"/>
              </w:rPr>
              <w:t>表</w:t>
            </w:r>
            <w:r>
              <w:rPr>
                <w:rFonts w:ascii="Times New Roman" w:hAnsi="Times New Roman"/>
                <w:b/>
                <w:bCs/>
                <w:szCs w:val="24"/>
              </w:rPr>
              <w:t xml:space="preserve">2  </w:t>
            </w:r>
            <w:r>
              <w:rPr>
                <w:rFonts w:hint="eastAsia" w:ascii="Times New Roman"/>
                <w:b/>
                <w:bCs/>
                <w:szCs w:val="24"/>
              </w:rPr>
              <w:t>废物运输情况</w:t>
            </w:r>
          </w:p>
          <w:p>
            <w:pPr>
              <w:rPr>
                <w:rFonts w:ascii="Times New Roman"/>
                <w:b/>
                <w:bCs/>
                <w:szCs w:val="24"/>
              </w:rPr>
            </w:pPr>
            <w:r>
              <w:rPr>
                <w:rFonts w:hint="eastAsia" w:ascii="Times New Roman"/>
                <w:szCs w:val="24"/>
              </w:rPr>
              <w:t>运输是否符合交管部门运输相关规定（文字描述）运输是否符合交管部门运输相关规定（文字描述）</w:t>
            </w:r>
          </w:p>
          <w:p>
            <w:pPr>
              <w:tabs>
                <w:tab w:val="left" w:pos="3075"/>
              </w:tabs>
              <w:rPr>
                <w:rFonts w:ascii="Times New Roman" w:hAnsi="Times New Roman"/>
                <w:b/>
                <w:szCs w:val="24"/>
              </w:rPr>
            </w:pPr>
            <w:r>
              <w:rPr>
                <w:rFonts w:hint="eastAsia" w:ascii="Times New Roman" w:hAnsi="Times New Roman"/>
                <w:b/>
                <w:szCs w:val="24"/>
                <w:lang w:val="en-US" w:eastAsia="zh-CN"/>
              </w:rPr>
              <w:t>开化盛翔物流有限公司</w:t>
            </w:r>
            <w:r>
              <w:rPr>
                <w:rFonts w:ascii="Times New Roman" w:hAnsi="Times New Roman"/>
                <w:b/>
                <w:szCs w:val="24"/>
              </w:rPr>
              <w:tab/>
            </w:r>
          </w:p>
          <w:p>
            <w:pPr>
              <w:rPr>
                <w:rFonts w:hint="default" w:ascii="Times New Roman" w:hAnsi="Times New Roman" w:eastAsia="微软雅黑"/>
                <w:szCs w:val="24"/>
                <w:lang w:val="en-US" w:eastAsia="zh-CN"/>
              </w:rPr>
            </w:pPr>
            <w:r>
              <w:rPr>
                <w:rFonts w:hint="eastAsia" w:ascii="Times New Roman" w:hAnsi="Times New Roman"/>
                <w:szCs w:val="24"/>
              </w:rPr>
              <w:t>道路运输经营许可证：</w:t>
            </w:r>
            <w:r>
              <w:rPr>
                <w:rFonts w:hint="eastAsia" w:ascii="Times New Roman" w:hAnsi="Times New Roman"/>
                <w:szCs w:val="24"/>
                <w:lang w:val="en-US" w:eastAsia="zh-CN"/>
              </w:rPr>
              <w:t>浙</w:t>
            </w:r>
            <w:r>
              <w:rPr>
                <w:rFonts w:hint="eastAsia" w:ascii="Times New Roman" w:hAnsi="Times New Roman"/>
                <w:szCs w:val="24"/>
              </w:rPr>
              <w:t>交运管许可</w:t>
            </w:r>
            <w:r>
              <w:rPr>
                <w:rFonts w:hint="eastAsia" w:ascii="Times New Roman" w:hAnsi="Times New Roman"/>
                <w:szCs w:val="24"/>
                <w:lang w:val="en-US" w:eastAsia="zh-CN"/>
              </w:rPr>
              <w:t>衢</w:t>
            </w:r>
            <w:r>
              <w:rPr>
                <w:rFonts w:hint="eastAsia" w:ascii="Times New Roman" w:hAnsi="Times New Roman"/>
                <w:szCs w:val="24"/>
              </w:rPr>
              <w:t>字</w:t>
            </w:r>
            <w:r>
              <w:rPr>
                <w:rFonts w:hint="eastAsia" w:ascii="Times New Roman" w:hAnsi="Times New Roman"/>
                <w:szCs w:val="24"/>
                <w:lang w:val="en-US" w:eastAsia="zh-CN"/>
              </w:rPr>
              <w:t>330824601871</w:t>
            </w:r>
          </w:p>
          <w:p>
            <w:pPr>
              <w:rPr>
                <w:rFonts w:ascii="Times New Roman" w:hAnsi="Times New Roman"/>
                <w:szCs w:val="24"/>
              </w:rPr>
            </w:pPr>
            <w:r>
              <w:rPr>
                <w:rFonts w:hint="eastAsia" w:ascii="Times New Roman" w:hAnsi="Times New Roman"/>
                <w:szCs w:val="24"/>
              </w:rPr>
              <w:t>货运</w:t>
            </w:r>
            <w:r>
              <w:rPr>
                <w:rFonts w:hint="eastAsia" w:ascii="Times New Roman" w:hAnsi="Times New Roman"/>
                <w:szCs w:val="24"/>
                <w:lang w:eastAsia="zh-CN"/>
              </w:rPr>
              <w:t>：</w:t>
            </w:r>
            <w:r>
              <w:rPr>
                <w:rFonts w:hint="eastAsia" w:ascii="Times New Roman" w:hAnsi="Times New Roman"/>
                <w:szCs w:val="24"/>
                <w:lang w:val="en-US" w:eastAsia="zh-CN"/>
              </w:rPr>
              <w:t>普通货运、货物专用运输（罐式）、</w:t>
            </w:r>
            <w:r>
              <w:rPr>
                <w:rFonts w:hint="eastAsia" w:ascii="Times New Roman" w:hAnsi="Times New Roman"/>
                <w:szCs w:val="24"/>
              </w:rPr>
              <w:t>经营性危险货物运输（</w:t>
            </w:r>
            <w:r>
              <w:rPr>
                <w:rFonts w:hint="eastAsia" w:ascii="Times New Roman" w:hAnsi="Times New Roman"/>
                <w:szCs w:val="24"/>
                <w:lang w:val="en-US" w:eastAsia="zh-CN"/>
              </w:rPr>
              <w:t>第</w:t>
            </w:r>
            <w:r>
              <w:rPr>
                <w:rFonts w:hint="eastAsia" w:ascii="Times New Roman" w:hAnsi="Times New Roman"/>
                <w:szCs w:val="24"/>
              </w:rPr>
              <w:t>3类，</w:t>
            </w:r>
            <w:r>
              <w:rPr>
                <w:rFonts w:hint="eastAsia" w:ascii="Times New Roman" w:hAnsi="Times New Roman"/>
                <w:szCs w:val="24"/>
                <w:lang w:val="en-US" w:eastAsia="zh-CN"/>
              </w:rPr>
              <w:t xml:space="preserve">4. </w:t>
            </w:r>
            <w:r>
              <w:rPr>
                <w:rFonts w:hint="eastAsia" w:ascii="Times New Roman" w:hAnsi="Times New Roman"/>
                <w:szCs w:val="24"/>
              </w:rPr>
              <w:t>1项，</w:t>
            </w:r>
            <w:r>
              <w:rPr>
                <w:rFonts w:hint="eastAsia" w:ascii="Times New Roman" w:hAnsi="Times New Roman"/>
                <w:szCs w:val="24"/>
                <w:lang w:val="en-US" w:eastAsia="zh-CN"/>
              </w:rPr>
              <w:t>4. 2项、4. 3项、6. 1项、6.2项、第</w:t>
            </w:r>
            <w:r>
              <w:rPr>
                <w:rFonts w:hint="eastAsia" w:ascii="Times New Roman" w:hAnsi="Times New Roman"/>
                <w:szCs w:val="24"/>
              </w:rPr>
              <w:t>8类</w:t>
            </w:r>
            <w:r>
              <w:rPr>
                <w:rFonts w:hint="eastAsia" w:ascii="Times New Roman" w:hAnsi="Times New Roman"/>
                <w:szCs w:val="24"/>
                <w:lang w:eastAsia="zh-CN"/>
              </w:rPr>
              <w:t>、第</w:t>
            </w:r>
            <w:r>
              <w:rPr>
                <w:rFonts w:hint="eastAsia" w:ascii="Times New Roman" w:hAnsi="Times New Roman"/>
                <w:szCs w:val="24"/>
                <w:lang w:val="en-US" w:eastAsia="zh-CN"/>
              </w:rPr>
              <w:t>9</w:t>
            </w:r>
            <w:r>
              <w:rPr>
                <w:rFonts w:hint="eastAsia" w:ascii="Times New Roman" w:hAnsi="Times New Roman"/>
                <w:szCs w:val="24"/>
                <w:lang w:eastAsia="zh-CN"/>
              </w:rPr>
              <w:t>类、危险废物）</w:t>
            </w:r>
            <w:r>
              <w:rPr>
                <w:rFonts w:hint="eastAsia" w:ascii="Times New Roman" w:hAnsi="Times New Roman"/>
                <w:szCs w:val="24"/>
              </w:rPr>
              <w:t>，</w:t>
            </w:r>
            <w:r>
              <w:rPr>
                <w:rFonts w:hint="eastAsia" w:ascii="Times New Roman" w:hAnsi="Times New Roman"/>
                <w:szCs w:val="24"/>
                <w:lang w:eastAsia="zh-CN"/>
              </w:rPr>
              <w:t>（</w:t>
            </w:r>
            <w:r>
              <w:rPr>
                <w:rFonts w:hint="eastAsia" w:ascii="Times New Roman" w:hAnsi="Times New Roman"/>
                <w:szCs w:val="24"/>
              </w:rPr>
              <w:t>剧毒化学品</w:t>
            </w:r>
            <w:r>
              <w:rPr>
                <w:rFonts w:hint="eastAsia" w:ascii="Times New Roman" w:hAnsi="Times New Roman"/>
                <w:szCs w:val="24"/>
                <w:lang w:eastAsia="zh-CN"/>
              </w:rPr>
              <w:t>除外</w:t>
            </w:r>
            <w:r>
              <w:rPr>
                <w:rFonts w:hint="eastAsia" w:ascii="Times New Roman" w:hAnsi="Times New Roman"/>
                <w:szCs w:val="24"/>
              </w:rPr>
              <w:t>）</w:t>
            </w: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885" w:type="dxa"/>
            <w:vAlign w:val="center"/>
          </w:tcPr>
          <w:p>
            <w:pPr>
              <w:rPr>
                <w:rFonts w:ascii="Times New Roman" w:hAnsi="Times New Roman"/>
                <w:szCs w:val="24"/>
              </w:rPr>
            </w:pPr>
            <w:r>
              <w:rPr>
                <w:rFonts w:hint="eastAsia" w:ascii="Times New Roman"/>
                <w:szCs w:val="24"/>
              </w:rPr>
              <w:t>运输方式：道路</w:t>
            </w:r>
            <w:r>
              <w:rPr>
                <w:rFonts w:hint="eastAsia" w:ascii="微软雅黑" w:hAnsi="微软雅黑"/>
                <w:szCs w:val="24"/>
              </w:rPr>
              <w:t>■</w:t>
            </w:r>
            <w:r>
              <w:rPr>
                <w:rFonts w:hint="eastAsia" w:ascii="Times New Roman" w:hAnsi="宋体"/>
                <w:szCs w:val="24"/>
              </w:rPr>
              <w:t>铁路</w:t>
            </w:r>
            <w:r>
              <w:rPr>
                <w:rFonts w:ascii="Times New Roman" w:hAnsi="Times New Roman"/>
                <w:szCs w:val="24"/>
              </w:rPr>
              <w:t xml:space="preserve"> □      </w:t>
            </w:r>
            <w:r>
              <w:rPr>
                <w:rFonts w:hint="eastAsia" w:ascii="Times New Roman" w:hAnsi="宋体"/>
                <w:szCs w:val="24"/>
              </w:rPr>
              <w:t>水路</w:t>
            </w:r>
            <w:r>
              <w:rPr>
                <w:rFonts w:ascii="Times New Roman" w:hAnsi="Times New Roman"/>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0" w:hRule="atLeast"/>
        </w:trPr>
        <w:tc>
          <w:tcPr>
            <w:tcW w:w="9885" w:type="dxa"/>
          </w:tcPr>
          <w:p>
            <w:pPr>
              <w:rPr>
                <w:rFonts w:ascii="Times New Roman"/>
                <w:szCs w:val="24"/>
              </w:rPr>
            </w:pPr>
            <w:r>
              <w:rPr>
                <w:rFonts w:hint="eastAsia" w:ascii="Times New Roman"/>
                <w:szCs w:val="24"/>
              </w:rPr>
              <w:t>运输路线文字描述：（写明途经省、市、县（区），附路线图）</w:t>
            </w:r>
          </w:p>
          <w:p>
            <w:pPr>
              <w:ind w:firstLine="440" w:firstLineChars="200"/>
              <w:rPr>
                <w:szCs w:val="21"/>
              </w:rPr>
            </w:pPr>
            <w:r>
              <w:rPr>
                <w:rFonts w:hint="eastAsia"/>
                <w:szCs w:val="21"/>
                <w:lang w:eastAsia="zh-CN"/>
              </w:rPr>
              <w:t>江苏九洲包装科技</w:t>
            </w:r>
            <w:r>
              <w:rPr>
                <w:rFonts w:hint="eastAsia"/>
                <w:szCs w:val="21"/>
              </w:rPr>
              <w:t>有限公司</w:t>
            </w:r>
            <w:r>
              <w:rPr>
                <w:szCs w:val="21"/>
              </w:rPr>
              <w:t>-</w:t>
            </w:r>
            <w:r>
              <w:rPr>
                <w:rFonts w:hint="eastAsia"/>
                <w:szCs w:val="21"/>
                <w:lang w:eastAsia="zh-CN"/>
              </w:rPr>
              <w:t>创盛路</w:t>
            </w:r>
            <w:r>
              <w:rPr>
                <w:rFonts w:hint="eastAsia"/>
                <w:szCs w:val="21"/>
              </w:rPr>
              <w:t>-</w:t>
            </w:r>
            <w:r>
              <w:rPr>
                <w:rFonts w:hint="eastAsia"/>
                <w:szCs w:val="21"/>
                <w:lang w:eastAsia="zh-CN"/>
              </w:rPr>
              <w:t>戴洛路</w:t>
            </w:r>
            <w:r>
              <w:rPr>
                <w:rFonts w:hint="eastAsia"/>
                <w:szCs w:val="21"/>
                <w:lang w:val="en-US" w:eastAsia="zh-CN"/>
              </w:rPr>
              <w:t>-232省道-沪武高速</w:t>
            </w:r>
            <w:r>
              <w:rPr>
                <w:rFonts w:hint="eastAsia"/>
                <w:szCs w:val="21"/>
              </w:rPr>
              <w:t>-</w:t>
            </w:r>
            <w:r>
              <w:rPr>
                <w:rFonts w:hint="eastAsia"/>
                <w:szCs w:val="21"/>
                <w:lang w:eastAsia="zh-CN"/>
              </w:rPr>
              <w:t>沪蓉</w:t>
            </w:r>
            <w:r>
              <w:rPr>
                <w:rFonts w:hint="eastAsia"/>
                <w:szCs w:val="21"/>
              </w:rPr>
              <w:t>高速-</w:t>
            </w:r>
            <w:r>
              <w:rPr>
                <w:rFonts w:hint="eastAsia"/>
                <w:szCs w:val="21"/>
                <w:lang w:eastAsia="zh-CN"/>
              </w:rPr>
              <w:t>京沪</w:t>
            </w:r>
            <w:r>
              <w:rPr>
                <w:rFonts w:hint="eastAsia"/>
                <w:szCs w:val="21"/>
              </w:rPr>
              <w:t>高速-</w:t>
            </w:r>
            <w:r>
              <w:rPr>
                <w:rFonts w:hint="eastAsia"/>
                <w:szCs w:val="21"/>
                <w:lang w:eastAsia="zh-CN"/>
              </w:rPr>
              <w:t>常台</w:t>
            </w:r>
            <w:r>
              <w:rPr>
                <w:rFonts w:hint="eastAsia"/>
                <w:szCs w:val="21"/>
              </w:rPr>
              <w:t>高速-</w:t>
            </w:r>
            <w:r>
              <w:rPr>
                <w:rFonts w:hint="eastAsia"/>
                <w:szCs w:val="21"/>
                <w:lang w:eastAsia="zh-CN"/>
              </w:rPr>
              <w:t>沪昆</w:t>
            </w:r>
            <w:r>
              <w:rPr>
                <w:rFonts w:hint="eastAsia"/>
                <w:szCs w:val="21"/>
              </w:rPr>
              <w:t>高速-</w:t>
            </w:r>
            <w:r>
              <w:rPr>
                <w:rFonts w:hint="eastAsia"/>
                <w:szCs w:val="21"/>
                <w:lang w:eastAsia="zh-CN"/>
              </w:rPr>
              <w:t>溧宁高速</w:t>
            </w:r>
            <w:r>
              <w:rPr>
                <w:rFonts w:hint="eastAsia"/>
                <w:szCs w:val="21"/>
                <w:lang w:val="en-US" w:eastAsia="zh-CN"/>
              </w:rPr>
              <w:t>-</w:t>
            </w:r>
            <w:r>
              <w:rPr>
                <w:rFonts w:hint="eastAsia"/>
                <w:szCs w:val="21"/>
              </w:rPr>
              <w:t>6</w:t>
            </w:r>
            <w:r>
              <w:rPr>
                <w:rFonts w:hint="eastAsia"/>
                <w:szCs w:val="21"/>
                <w:lang w:val="en-US" w:eastAsia="zh-CN"/>
              </w:rPr>
              <w:t>1</w:t>
            </w:r>
            <w:r>
              <w:rPr>
                <w:rFonts w:hint="eastAsia"/>
                <w:szCs w:val="21"/>
              </w:rPr>
              <w:t>7县道-</w:t>
            </w:r>
            <w:r>
              <w:rPr>
                <w:rFonts w:hint="eastAsia"/>
                <w:szCs w:val="21"/>
                <w:lang w:eastAsia="zh-CN"/>
              </w:rPr>
              <w:t>连后段</w:t>
            </w:r>
            <w:r>
              <w:rPr>
                <w:rFonts w:hint="eastAsia"/>
                <w:szCs w:val="21"/>
                <w:lang w:val="en-US" w:eastAsia="zh-CN"/>
              </w:rPr>
              <w:t>-纬四路-</w:t>
            </w:r>
            <w:r>
              <w:rPr>
                <w:rFonts w:hint="eastAsia"/>
                <w:szCs w:val="21"/>
              </w:rPr>
              <w:t>浙江汇金</w:t>
            </w:r>
            <w:r>
              <w:rPr>
                <w:rFonts w:hint="eastAsia"/>
                <w:szCs w:val="21"/>
                <w:lang w:eastAsia="zh-CN"/>
              </w:rPr>
              <w:t>环保科技</w:t>
            </w:r>
            <w:r>
              <w:rPr>
                <w:rFonts w:hint="eastAsia"/>
                <w:szCs w:val="21"/>
              </w:rPr>
              <w:t>有限公司</w:t>
            </w:r>
          </w:p>
          <w:p>
            <w:pPr>
              <w:tabs>
                <w:tab w:val="left" w:pos="6615"/>
              </w:tabs>
              <w:rPr>
                <w:szCs w:val="21"/>
              </w:rPr>
            </w:pPr>
            <w:r>
              <w:rPr>
                <w:rFonts w:hint="eastAsia"/>
                <w:szCs w:val="21"/>
              </w:rPr>
              <w:t>途径主要省辖市：</w:t>
            </w:r>
            <w:r>
              <w:rPr>
                <w:szCs w:val="21"/>
              </w:rPr>
              <w:tab/>
            </w:r>
          </w:p>
          <w:p>
            <w:pPr>
              <w:rPr>
                <w:rFonts w:hint="eastAsia" w:ascii="Times New Roman" w:eastAsia="微软雅黑"/>
                <w:szCs w:val="24"/>
                <w:lang w:eastAsia="zh-CN"/>
              </w:rPr>
            </w:pPr>
            <w:r>
              <w:rPr>
                <w:rFonts w:hint="eastAsia"/>
                <w:szCs w:val="21"/>
              </w:rPr>
              <w:t>江苏省</w:t>
            </w:r>
            <w:r>
              <w:rPr>
                <w:rFonts w:hint="eastAsia"/>
                <w:szCs w:val="21"/>
                <w:lang w:eastAsia="zh-CN"/>
              </w:rPr>
              <w:t>常州</w:t>
            </w:r>
            <w:r>
              <w:rPr>
                <w:szCs w:val="21"/>
              </w:rPr>
              <w:t>--</w:t>
            </w:r>
            <w:r>
              <w:rPr>
                <w:rFonts w:hint="eastAsia"/>
                <w:szCs w:val="21"/>
                <w:lang w:eastAsia="zh-CN"/>
              </w:rPr>
              <w:t>江苏无锡</w:t>
            </w:r>
            <w:r>
              <w:rPr>
                <w:szCs w:val="21"/>
              </w:rPr>
              <w:t>-</w:t>
            </w:r>
            <w:r>
              <w:rPr>
                <w:rFonts w:hint="eastAsia"/>
                <w:szCs w:val="21"/>
                <w:lang w:eastAsia="zh-CN"/>
              </w:rPr>
              <w:t>江苏苏州</w:t>
            </w:r>
            <w:r>
              <w:rPr>
                <w:rFonts w:hint="eastAsia"/>
                <w:szCs w:val="21"/>
                <w:lang w:val="en-US" w:eastAsia="zh-CN"/>
              </w:rPr>
              <w:t>-</w:t>
            </w:r>
            <w:r>
              <w:rPr>
                <w:rFonts w:hint="eastAsia"/>
                <w:szCs w:val="21"/>
              </w:rPr>
              <w:t>浙江</w:t>
            </w:r>
            <w:r>
              <w:rPr>
                <w:rFonts w:hint="eastAsia"/>
                <w:szCs w:val="21"/>
                <w:lang w:eastAsia="zh-CN"/>
              </w:rPr>
              <w:t>嘉兴</w:t>
            </w:r>
            <w:r>
              <w:rPr>
                <w:szCs w:val="21"/>
              </w:rPr>
              <w:t>-</w:t>
            </w:r>
            <w:r>
              <w:rPr>
                <w:rFonts w:hint="eastAsia"/>
                <w:szCs w:val="21"/>
                <w:lang w:eastAsia="zh-CN"/>
              </w:rPr>
              <w:t>浙江绍兴</w:t>
            </w:r>
            <w:r>
              <w:rPr>
                <w:rFonts w:hint="eastAsia"/>
                <w:szCs w:val="21"/>
                <w:lang w:val="en-US" w:eastAsia="zh-CN"/>
              </w:rPr>
              <w:t>-浙江金华</w:t>
            </w:r>
            <w:r>
              <w:rPr>
                <w:szCs w:val="21"/>
              </w:rPr>
              <w:t>-</w:t>
            </w:r>
            <w:r>
              <w:rPr>
                <w:rFonts w:hint="eastAsia"/>
                <w:szCs w:val="21"/>
                <w:lang w:eastAsia="zh-CN"/>
              </w:rPr>
              <w:t>浙江衢州</w:t>
            </w:r>
            <w:r>
              <w:rPr>
                <w:rFonts w:hint="eastAsia"/>
                <w:szCs w:val="21"/>
              </w:rPr>
              <w:t>-</w:t>
            </w:r>
            <w:r>
              <w:rPr>
                <w:rFonts w:hint="eastAsia"/>
                <w:szCs w:val="21"/>
                <w:lang w:eastAsia="zh-CN"/>
              </w:rPr>
              <w:t>浙江</w:t>
            </w:r>
            <w:r>
              <w:rPr>
                <w:rFonts w:hint="eastAsia"/>
                <w:szCs w:val="21"/>
              </w:rPr>
              <w:t>丽水-</w:t>
            </w:r>
            <w:r>
              <w:rPr>
                <w:rFonts w:hint="eastAsia"/>
                <w:szCs w:val="21"/>
                <w:lang w:eastAsia="zh-CN"/>
              </w:rPr>
              <w:t>浙江汇金环保</w:t>
            </w:r>
            <w:r>
              <w:rPr>
                <w:rFonts w:hint="eastAsia"/>
                <w:szCs w:val="21"/>
              </w:rPr>
              <w:t>。</w:t>
            </w:r>
            <w:r>
              <w:rPr>
                <w:rFonts w:hint="eastAsia" w:ascii="Times New Roman" w:eastAsia="微软雅黑"/>
                <w:szCs w:val="24"/>
                <w:lang w:eastAsia="zh-CN"/>
              </w:rPr>
              <w:drawing>
                <wp:inline distT="0" distB="0" distL="114300" distR="114300">
                  <wp:extent cx="3179445" cy="6178550"/>
                  <wp:effectExtent l="0" t="0" r="1905" b="1270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7"/>
                          <a:stretch>
                            <a:fillRect/>
                          </a:stretch>
                        </pic:blipFill>
                        <pic:spPr>
                          <a:xfrm>
                            <a:off x="0" y="0"/>
                            <a:ext cx="3179445" cy="6178550"/>
                          </a:xfrm>
                          <a:prstGeom prst="rect">
                            <a:avLst/>
                          </a:prstGeom>
                        </pic:spPr>
                      </pic:pic>
                    </a:graphicData>
                  </a:graphic>
                </wp:inline>
              </w:drawing>
            </w:r>
          </w:p>
        </w:tc>
      </w:tr>
    </w:tbl>
    <w:p>
      <w:pPr>
        <w:rPr>
          <w:rFonts w:ascii="Times New Roman" w:hAnsi="Times New Roman"/>
          <w:szCs w:val="24"/>
        </w:rPr>
        <w:sectPr>
          <w:pgSz w:w="11906" w:h="16838"/>
          <w:pgMar w:top="1134" w:right="1797" w:bottom="851" w:left="1797" w:header="851" w:footer="992" w:gutter="0"/>
          <w:cols w:space="425" w:num="1"/>
          <w:docGrid w:type="lines" w:linePitch="286" w:charSpace="0"/>
        </w:sectPr>
      </w:pPr>
      <w:bookmarkStart w:id="0" w:name="_GoBack"/>
      <w:bookmarkEnd w:id="0"/>
    </w:p>
    <w:tbl>
      <w:tblPr>
        <w:tblStyle w:val="6"/>
        <w:tblW w:w="9345"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9345" w:type="dxa"/>
            <w:vAlign w:val="center"/>
          </w:tcPr>
          <w:p>
            <w:pPr>
              <w:rPr>
                <w:rFonts w:ascii="Times New Roman" w:hAnsi="Times New Roman"/>
                <w:b/>
                <w:bCs/>
                <w:szCs w:val="24"/>
              </w:rPr>
            </w:pPr>
            <w:r>
              <w:rPr>
                <w:rFonts w:hint="eastAsia" w:ascii="Times New Roman"/>
                <w:b/>
                <w:bCs/>
                <w:szCs w:val="24"/>
              </w:rPr>
              <w:t>表</w:t>
            </w:r>
            <w:r>
              <w:rPr>
                <w:rFonts w:ascii="Times New Roman" w:hAnsi="Times New Roman"/>
                <w:b/>
                <w:bCs/>
                <w:szCs w:val="24"/>
              </w:rPr>
              <w:t xml:space="preserve">3  </w:t>
            </w:r>
            <w:r>
              <w:rPr>
                <w:rFonts w:hint="eastAsia" w:ascii="Times New Roman"/>
                <w:b/>
                <w:bCs/>
                <w:szCs w:val="24"/>
              </w:rPr>
              <w:t>转移的污染防治、安全防护和应急措施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0" w:hRule="atLeast"/>
        </w:trPr>
        <w:tc>
          <w:tcPr>
            <w:tcW w:w="9345" w:type="dxa"/>
          </w:tcPr>
          <w:p>
            <w:pPr>
              <w:jc w:val="center"/>
              <w:rPr>
                <w:rFonts w:hint="eastAsia"/>
                <w:b/>
                <w:sz w:val="44"/>
                <w:szCs w:val="44"/>
              </w:rPr>
            </w:pPr>
            <w:r>
              <w:rPr>
                <w:rFonts w:hint="eastAsia"/>
                <w:b/>
                <w:sz w:val="44"/>
                <w:szCs w:val="44"/>
              </w:rPr>
              <w:t>危险化学品运输事故应急</w:t>
            </w:r>
          </w:p>
          <w:p>
            <w:pPr>
              <w:jc w:val="center"/>
              <w:rPr>
                <w:rFonts w:hint="eastAsia"/>
                <w:b/>
                <w:sz w:val="44"/>
                <w:szCs w:val="44"/>
              </w:rPr>
            </w:pPr>
            <w:r>
              <w:rPr>
                <w:rFonts w:hint="eastAsia"/>
                <w:b/>
                <w:sz w:val="44"/>
                <w:szCs w:val="44"/>
              </w:rPr>
              <w:t>救援预案</w:t>
            </w:r>
          </w:p>
          <w:p>
            <w:pPr>
              <w:jc w:val="center"/>
              <w:rPr>
                <w:rFonts w:hint="eastAsia"/>
                <w:b/>
                <w:sz w:val="44"/>
                <w:szCs w:val="44"/>
              </w:rPr>
            </w:pPr>
          </w:p>
          <w:p>
            <w:pPr>
              <w:ind w:firstLine="560" w:firstLineChars="200"/>
              <w:outlineLvl w:val="0"/>
              <w:rPr>
                <w:sz w:val="28"/>
                <w:szCs w:val="28"/>
              </w:rPr>
            </w:pPr>
            <w:r>
              <w:rPr>
                <w:rFonts w:hint="eastAsia"/>
                <w:sz w:val="28"/>
                <w:szCs w:val="28"/>
              </w:rPr>
              <w:t>一、前言</w:t>
            </w:r>
          </w:p>
          <w:p>
            <w:pPr>
              <w:ind w:firstLine="560" w:firstLineChars="200"/>
              <w:rPr>
                <w:rFonts w:hint="eastAsia"/>
                <w:sz w:val="28"/>
                <w:szCs w:val="28"/>
              </w:rPr>
            </w:pPr>
            <w:r>
              <w:rPr>
                <w:rFonts w:hint="eastAsia"/>
                <w:sz w:val="28"/>
                <w:szCs w:val="28"/>
              </w:rPr>
              <w:t>危险化学品在运输途中若发生交通事故或泄漏事故，会引起燃烧、爆炸、腐蚀等严重的灾害，为提高本公司危化品运输事故应急救援能力，最的限度地减少事故造成的损失。依据《中华人民共和国和国安生产法》和《道路危险货物运输管理制度的规定》等法律法规规定，特编制本公司危货运输事故应急救援预案。</w:t>
            </w:r>
          </w:p>
          <w:p>
            <w:pPr>
              <w:ind w:firstLine="570"/>
              <w:rPr>
                <w:rFonts w:hint="eastAsia"/>
                <w:sz w:val="28"/>
                <w:szCs w:val="28"/>
              </w:rPr>
            </w:pPr>
            <w:r>
              <w:rPr>
                <w:rFonts w:hint="eastAsia"/>
                <w:sz w:val="28"/>
                <w:szCs w:val="28"/>
              </w:rPr>
              <w:t>1、目的</w:t>
            </w:r>
          </w:p>
          <w:p>
            <w:pPr>
              <w:ind w:firstLine="570"/>
              <w:rPr>
                <w:sz w:val="28"/>
                <w:szCs w:val="28"/>
              </w:rPr>
            </w:pPr>
            <w:r>
              <w:rPr>
                <w:rFonts w:hint="eastAsia"/>
                <w:sz w:val="28"/>
                <w:szCs w:val="28"/>
              </w:rPr>
              <w:t>为最大限度地减少因危化品运输过程中突发性事故带来的人员伤亡、财产损失和社会影响，制定本应急预案。</w:t>
            </w:r>
          </w:p>
          <w:p>
            <w:pPr>
              <w:rPr>
                <w:rFonts w:hint="eastAsia"/>
                <w:sz w:val="28"/>
                <w:szCs w:val="28"/>
              </w:rPr>
            </w:pPr>
            <w:r>
              <w:rPr>
                <w:sz w:val="28"/>
                <w:szCs w:val="28"/>
              </w:rPr>
              <w:tab/>
            </w:r>
            <w:r>
              <w:rPr>
                <w:rFonts w:hint="eastAsia"/>
                <w:sz w:val="28"/>
                <w:szCs w:val="28"/>
              </w:rPr>
              <w:t xml:space="preserve"> 2、依据</w:t>
            </w:r>
          </w:p>
          <w:p>
            <w:pPr>
              <w:tabs>
                <w:tab w:val="left" w:pos="720"/>
              </w:tabs>
              <w:rPr>
                <w:sz w:val="28"/>
                <w:szCs w:val="28"/>
              </w:rPr>
            </w:pPr>
            <w:r>
              <w:rPr>
                <w:rFonts w:hint="eastAsia"/>
                <w:sz w:val="28"/>
                <w:szCs w:val="28"/>
              </w:rPr>
              <w:t xml:space="preserve">     （1）、《中华人民共和国安全生产法》；</w:t>
            </w:r>
          </w:p>
          <w:p>
            <w:pPr>
              <w:tabs>
                <w:tab w:val="left" w:pos="720"/>
              </w:tabs>
              <w:rPr>
                <w:sz w:val="28"/>
                <w:szCs w:val="28"/>
              </w:rPr>
            </w:pPr>
            <w:r>
              <w:rPr>
                <w:sz w:val="28"/>
                <w:szCs w:val="28"/>
              </w:rPr>
              <w:tab/>
            </w:r>
            <w:r>
              <w:rPr>
                <w:rFonts w:hint="eastAsia"/>
                <w:sz w:val="28"/>
                <w:szCs w:val="28"/>
              </w:rPr>
              <w:t>（2）、《中华人民共和国职业病防治法》；</w:t>
            </w:r>
          </w:p>
          <w:p>
            <w:pPr>
              <w:tabs>
                <w:tab w:val="left" w:pos="720"/>
              </w:tabs>
              <w:rPr>
                <w:rFonts w:hint="eastAsia"/>
                <w:sz w:val="28"/>
                <w:szCs w:val="28"/>
              </w:rPr>
            </w:pPr>
            <w:r>
              <w:rPr>
                <w:sz w:val="28"/>
                <w:szCs w:val="28"/>
              </w:rPr>
              <w:tab/>
            </w:r>
            <w:r>
              <w:rPr>
                <w:rFonts w:hint="eastAsia"/>
                <w:sz w:val="28"/>
                <w:szCs w:val="28"/>
              </w:rPr>
              <w:t>（3）、《中华人民共和国消防法》；</w:t>
            </w:r>
          </w:p>
          <w:p>
            <w:pPr>
              <w:tabs>
                <w:tab w:val="left" w:pos="720"/>
              </w:tabs>
              <w:rPr>
                <w:sz w:val="28"/>
                <w:szCs w:val="28"/>
              </w:rPr>
            </w:pPr>
            <w:r>
              <w:rPr>
                <w:rFonts w:hint="eastAsia"/>
                <w:sz w:val="28"/>
                <w:szCs w:val="28"/>
              </w:rPr>
              <w:t xml:space="preserve">     （4）、《中华人民共和国道路交通安全法》；</w:t>
            </w:r>
          </w:p>
          <w:p>
            <w:pPr>
              <w:tabs>
                <w:tab w:val="left" w:pos="720"/>
              </w:tabs>
              <w:rPr>
                <w:sz w:val="28"/>
                <w:szCs w:val="28"/>
              </w:rPr>
            </w:pPr>
            <w:r>
              <w:rPr>
                <w:sz w:val="28"/>
                <w:szCs w:val="28"/>
              </w:rPr>
              <w:tab/>
            </w:r>
            <w:r>
              <w:rPr>
                <w:rFonts w:hint="eastAsia"/>
                <w:sz w:val="28"/>
                <w:szCs w:val="28"/>
              </w:rPr>
              <w:t>（5）、《道路危险货物运输管理规定》（2005年6月3日颁布）；</w:t>
            </w:r>
          </w:p>
          <w:p>
            <w:pPr>
              <w:tabs>
                <w:tab w:val="left" w:pos="720"/>
              </w:tabs>
              <w:rPr>
                <w:sz w:val="28"/>
                <w:szCs w:val="28"/>
              </w:rPr>
            </w:pPr>
            <w:r>
              <w:rPr>
                <w:sz w:val="28"/>
                <w:szCs w:val="28"/>
              </w:rPr>
              <w:tab/>
            </w:r>
            <w:r>
              <w:rPr>
                <w:rFonts w:hint="eastAsia"/>
                <w:sz w:val="28"/>
                <w:szCs w:val="28"/>
              </w:rPr>
              <w:t>（6）、《危险化学品安全管理条例》（国务院令第344号）；</w:t>
            </w:r>
          </w:p>
          <w:p>
            <w:pPr>
              <w:tabs>
                <w:tab w:val="left" w:pos="720"/>
              </w:tabs>
              <w:rPr>
                <w:sz w:val="28"/>
                <w:szCs w:val="28"/>
              </w:rPr>
            </w:pPr>
            <w:r>
              <w:rPr>
                <w:sz w:val="28"/>
                <w:szCs w:val="28"/>
              </w:rPr>
              <w:tab/>
            </w:r>
            <w:r>
              <w:rPr>
                <w:rFonts w:hint="eastAsia"/>
                <w:sz w:val="28"/>
                <w:szCs w:val="28"/>
              </w:rPr>
              <w:t>（7）、《特种设备安全监察条例》（国务院食第373号）；</w:t>
            </w:r>
          </w:p>
          <w:p>
            <w:pPr>
              <w:tabs>
                <w:tab w:val="left" w:pos="720"/>
              </w:tabs>
              <w:rPr>
                <w:rFonts w:hint="eastAsia"/>
                <w:sz w:val="28"/>
                <w:szCs w:val="28"/>
              </w:rPr>
            </w:pPr>
            <w:r>
              <w:rPr>
                <w:sz w:val="28"/>
                <w:szCs w:val="28"/>
              </w:rPr>
              <w:tab/>
            </w:r>
            <w:r>
              <w:rPr>
                <w:rFonts w:hint="eastAsia"/>
                <w:sz w:val="28"/>
                <w:szCs w:val="28"/>
              </w:rPr>
              <w:t xml:space="preserve">（8）、《危险化学品名录》（国家安全监局人告2003第1号）；   </w:t>
            </w:r>
          </w:p>
          <w:p>
            <w:pPr>
              <w:tabs>
                <w:tab w:val="left" w:pos="3675"/>
              </w:tabs>
              <w:rPr>
                <w:rFonts w:hint="eastAsia"/>
                <w:sz w:val="28"/>
                <w:szCs w:val="28"/>
              </w:rPr>
            </w:pPr>
            <w:r>
              <w:rPr>
                <w:rFonts w:hint="eastAsia"/>
                <w:sz w:val="28"/>
                <w:szCs w:val="28"/>
              </w:rPr>
              <w:t xml:space="preserve">    （9）、《常用化学危险品贮存通则》（GB15603）;</w:t>
            </w:r>
          </w:p>
          <w:p>
            <w:pPr>
              <w:tabs>
                <w:tab w:val="left" w:pos="3675"/>
              </w:tabs>
              <w:ind w:firstLine="570"/>
              <w:rPr>
                <w:rFonts w:hint="eastAsia"/>
                <w:sz w:val="28"/>
                <w:szCs w:val="28"/>
              </w:rPr>
            </w:pPr>
            <w:r>
              <w:rPr>
                <w:rFonts w:hint="eastAsia"/>
                <w:sz w:val="28"/>
                <w:szCs w:val="28"/>
              </w:rPr>
              <w:t>（10）、《企业职工伤亡事故经济损失统计标准》（GB6720）;</w:t>
            </w:r>
          </w:p>
          <w:p>
            <w:pPr>
              <w:tabs>
                <w:tab w:val="left" w:pos="3675"/>
              </w:tabs>
              <w:ind w:firstLine="570"/>
              <w:rPr>
                <w:rFonts w:hint="eastAsia"/>
                <w:sz w:val="28"/>
                <w:szCs w:val="28"/>
              </w:rPr>
            </w:pPr>
            <w:r>
              <w:rPr>
                <w:rFonts w:hint="eastAsia"/>
                <w:sz w:val="28"/>
                <w:szCs w:val="28"/>
              </w:rPr>
              <w:t>（11）、《危险化学品事故应急救援预案编制导则（单位版）》</w:t>
            </w:r>
          </w:p>
          <w:p>
            <w:pPr>
              <w:tabs>
                <w:tab w:val="left" w:pos="650"/>
              </w:tabs>
              <w:ind w:firstLine="560" w:firstLineChars="200"/>
              <w:rPr>
                <w:sz w:val="28"/>
                <w:szCs w:val="28"/>
              </w:rPr>
            </w:pPr>
            <w:r>
              <w:rPr>
                <w:rFonts w:hint="eastAsia"/>
                <w:sz w:val="28"/>
                <w:szCs w:val="28"/>
              </w:rPr>
              <w:t>3、适用范围；</w:t>
            </w:r>
          </w:p>
          <w:p>
            <w:pPr>
              <w:tabs>
                <w:tab w:val="left" w:pos="650"/>
              </w:tabs>
              <w:rPr>
                <w:rFonts w:hint="eastAsia"/>
                <w:sz w:val="28"/>
                <w:szCs w:val="28"/>
              </w:rPr>
            </w:pPr>
            <w:r>
              <w:rPr>
                <w:sz w:val="28"/>
                <w:szCs w:val="28"/>
              </w:rPr>
              <w:tab/>
            </w:r>
            <w:r>
              <w:rPr>
                <w:rFonts w:hint="eastAsia"/>
                <w:sz w:val="28"/>
                <w:szCs w:val="28"/>
              </w:rPr>
              <w:t>本预案适用于本公司运输危化品车辆可能发生的翻车、危险品泄漏、火灾爆炸、撞车、坠河等事故。</w:t>
            </w:r>
          </w:p>
          <w:p>
            <w:pPr>
              <w:tabs>
                <w:tab w:val="left" w:pos="650"/>
              </w:tabs>
              <w:ind w:firstLine="560" w:firstLineChars="200"/>
              <w:rPr>
                <w:rFonts w:hint="eastAsia"/>
                <w:sz w:val="28"/>
                <w:szCs w:val="28"/>
              </w:rPr>
            </w:pPr>
            <w:r>
              <w:rPr>
                <w:rFonts w:hint="eastAsia"/>
                <w:sz w:val="28"/>
                <w:szCs w:val="28"/>
              </w:rPr>
              <w:t>4、 意义：</w:t>
            </w:r>
          </w:p>
          <w:p>
            <w:pPr>
              <w:tabs>
                <w:tab w:val="left" w:pos="785"/>
              </w:tabs>
              <w:ind w:firstLine="570"/>
              <w:rPr>
                <w:rFonts w:hint="eastAsia"/>
                <w:sz w:val="28"/>
                <w:szCs w:val="28"/>
              </w:rPr>
            </w:pPr>
            <w:r>
              <w:rPr>
                <w:rFonts w:hint="eastAsia"/>
                <w:sz w:val="28"/>
                <w:szCs w:val="28"/>
              </w:rPr>
              <w:t>遵循“以防为主，防消结合”，追求最大限度地减少人员伤亡及财产损失，利用有限的人力、物力，把事故控制造成危害控制在最小范围之内。</w:t>
            </w:r>
          </w:p>
          <w:p>
            <w:pPr>
              <w:numPr>
                <w:ilvl w:val="0"/>
                <w:numId w:val="1"/>
              </w:numPr>
              <w:tabs>
                <w:tab w:val="left" w:pos="785"/>
              </w:tabs>
              <w:ind w:firstLine="560" w:firstLineChars="200"/>
              <w:outlineLvl w:val="0"/>
              <w:rPr>
                <w:rFonts w:hint="eastAsia"/>
                <w:sz w:val="28"/>
                <w:szCs w:val="28"/>
              </w:rPr>
            </w:pPr>
            <w:r>
              <w:rPr>
                <w:rFonts w:hint="eastAsia"/>
                <w:sz w:val="28"/>
                <w:szCs w:val="28"/>
              </w:rPr>
              <w:t>公司概况</w:t>
            </w:r>
          </w:p>
          <w:p>
            <w:pPr>
              <w:ind w:firstLine="560" w:firstLineChars="200"/>
              <w:rPr>
                <w:rFonts w:hint="eastAsia" w:ascii="宋体" w:hAnsi="宋体" w:eastAsia="宋体"/>
                <w:kern w:val="2"/>
                <w:sz w:val="28"/>
                <w:szCs w:val="28"/>
                <w:lang w:val="en-US" w:eastAsia="zh-CN" w:bidi="ar-SA"/>
              </w:rPr>
            </w:pPr>
            <w:r>
              <w:rPr>
                <w:rFonts w:hint="eastAsia"/>
                <w:color w:val="FF0000"/>
                <w:sz w:val="28"/>
                <w:szCs w:val="28"/>
              </w:rPr>
              <w:t xml:space="preserve">  </w:t>
            </w:r>
            <w:r>
              <w:rPr>
                <w:rFonts w:hint="eastAsia" w:ascii="宋体" w:hAnsi="宋体" w:eastAsia="宋体"/>
                <w:kern w:val="2"/>
                <w:sz w:val="28"/>
                <w:szCs w:val="28"/>
                <w:lang w:val="en-US" w:eastAsia="zh-CN" w:bidi="ar-SA"/>
              </w:rPr>
              <w:t xml:space="preserve"> 开化盛翔物流有限公司位于开化县城关镇西子街17号—01</w:t>
            </w:r>
            <w:r>
              <w:rPr>
                <w:rFonts w:hint="eastAsia" w:ascii="宋体" w:hAnsi="宋体"/>
                <w:kern w:val="2"/>
                <w:sz w:val="28"/>
                <w:szCs w:val="28"/>
                <w:lang w:val="en-US" w:eastAsia="zh-CN" w:bidi="ar-SA"/>
              </w:rPr>
              <w:t>，</w:t>
            </w:r>
            <w:r>
              <w:rPr>
                <w:rFonts w:hint="eastAsia" w:ascii="宋体" w:hAnsi="宋体" w:eastAsia="宋体"/>
                <w:kern w:val="2"/>
                <w:sz w:val="28"/>
                <w:szCs w:val="28"/>
                <w:lang w:val="en-US" w:eastAsia="zh-CN" w:bidi="ar-SA"/>
              </w:rPr>
              <w:t>停车场位于开化县华埠镇旗峰路5号，占地面积1000平方米，法人代表王之君。开化盛翔物流有限公司成立于2013年，是一家经营性危险化学品运输公司，主要承担垃圾飞灰、电镀污泥、焦油等危险废物的运输配送业务。公司现有</w:t>
            </w:r>
            <w:r>
              <w:rPr>
                <w:rFonts w:hint="eastAsia" w:eastAsia="宋体"/>
                <w:kern w:val="2"/>
                <w:sz w:val="28"/>
                <w:szCs w:val="28"/>
                <w:lang w:val="en-US" w:eastAsia="zh-CN" w:bidi="ar-SA"/>
              </w:rPr>
              <w:t>24</w:t>
            </w:r>
            <w:r>
              <w:rPr>
                <w:rFonts w:hint="eastAsia" w:ascii="宋体" w:hAnsi="宋体" w:eastAsia="宋体"/>
                <w:kern w:val="2"/>
                <w:sz w:val="28"/>
                <w:szCs w:val="28"/>
                <w:lang w:val="en-US" w:eastAsia="zh-CN" w:bidi="ar-SA"/>
              </w:rPr>
              <w:t>辆运输车辆，总吨位427.35吨。从业人员2</w:t>
            </w:r>
            <w:r>
              <w:rPr>
                <w:rFonts w:hint="eastAsia" w:eastAsia="宋体"/>
                <w:kern w:val="2"/>
                <w:sz w:val="28"/>
                <w:szCs w:val="28"/>
                <w:lang w:val="en-US" w:eastAsia="zh-CN" w:bidi="ar-SA"/>
              </w:rPr>
              <w:t>4</w:t>
            </w:r>
            <w:r>
              <w:rPr>
                <w:rFonts w:hint="eastAsia" w:ascii="宋体" w:hAnsi="宋体" w:eastAsia="宋体"/>
                <w:kern w:val="2"/>
                <w:sz w:val="28"/>
                <w:szCs w:val="28"/>
                <w:lang w:val="en-US" w:eastAsia="zh-CN" w:bidi="ar-SA"/>
              </w:rPr>
              <w:t>名，管理人员6名。公司自成立到现在没有发生一起安全事故。</w:t>
            </w:r>
          </w:p>
          <w:p>
            <w:pPr>
              <w:ind w:firstLine="560" w:firstLineChars="200"/>
              <w:rPr>
                <w:rFonts w:hint="eastAsia" w:ascii="宋体" w:hAnsi="宋体" w:eastAsia="宋体"/>
                <w:kern w:val="2"/>
                <w:sz w:val="28"/>
                <w:szCs w:val="28"/>
                <w:lang w:val="en-US" w:eastAsia="zh-CN" w:bidi="ar-SA"/>
              </w:rPr>
            </w:pPr>
            <w:r>
              <w:rPr>
                <w:rFonts w:hint="eastAsia" w:ascii="宋体" w:hAnsi="宋体" w:eastAsia="宋体"/>
                <w:kern w:val="2"/>
                <w:sz w:val="28"/>
                <w:szCs w:val="28"/>
                <w:lang w:val="en-US" w:eastAsia="zh-CN" w:bidi="ar-SA"/>
              </w:rPr>
              <w:t>公司根据《道路危险货物运输管理规定》制定安全生产管理办法，管理办法分五大部分：安全生产责任制；安生生产责任考核及奖惩制度；安全生产规章制度；岗位安全生产操作规程；生产安全事故应急预案，安全制度、岗位职责、应急预案完善。</w:t>
            </w:r>
          </w:p>
          <w:p>
            <w:pPr>
              <w:ind w:firstLine="560" w:firstLineChars="200"/>
              <w:rPr>
                <w:rFonts w:hint="eastAsia" w:ascii="宋体" w:hAnsi="宋体" w:eastAsia="宋体"/>
                <w:kern w:val="2"/>
                <w:sz w:val="28"/>
                <w:szCs w:val="28"/>
                <w:lang w:val="en-US" w:eastAsia="zh-CN" w:bidi="ar-SA"/>
              </w:rPr>
            </w:pPr>
            <w:r>
              <w:rPr>
                <w:rFonts w:hint="eastAsia" w:ascii="宋体" w:hAnsi="宋体" w:eastAsia="宋体"/>
                <w:kern w:val="2"/>
                <w:sz w:val="28"/>
                <w:szCs w:val="28"/>
                <w:lang w:val="en-US" w:eastAsia="zh-CN" w:bidi="ar-SA"/>
              </w:rPr>
              <w:t>公司为了更好对道路危运货物运输的安全：首先充分运用从严规范管理的的优势，加强了源头管理，对人员、车辆及货物不符合要求一律不得发货出车。其次是充分科技手段，加强对车辆的动态管理，车辆运行过程中，严格按照公安规定的线路运行。配专人对车辆实时监控，及时通知违章驾驶员，立即整改并做好记录，对违章驾驶员按奖惩制度处罚。做到制度、措施、人员、经费到位。</w:t>
            </w:r>
          </w:p>
          <w:p>
            <w:pPr>
              <w:ind w:firstLine="560" w:firstLineChars="200"/>
              <w:rPr>
                <w:rFonts w:hint="eastAsia"/>
                <w:color w:val="FF0000"/>
                <w:sz w:val="28"/>
                <w:szCs w:val="28"/>
              </w:rPr>
            </w:pPr>
            <w:r>
              <w:rPr>
                <w:rFonts w:hint="eastAsia" w:ascii="宋体" w:hAnsi="宋体" w:eastAsia="宋体"/>
                <w:kern w:val="2"/>
                <w:sz w:val="28"/>
                <w:szCs w:val="28"/>
                <w:lang w:val="en-US" w:eastAsia="zh-CN" w:bidi="ar-SA"/>
              </w:rPr>
              <w:t>公司始终贯彻“安全第一、预防为主”的安全工作方针，严格执行行业管理的要求和规定，狠抓安全管理工作，不断完善安全运输管理制度，不断加大监督力度，正确处理好安全与生产、安全与效益等各方面的关系，在上级管理部门的指导下，一定能成为规范化、集约化的现代物流运输企业。</w:t>
            </w:r>
          </w:p>
          <w:p>
            <w:pPr>
              <w:tabs>
                <w:tab w:val="left" w:pos="600"/>
              </w:tabs>
              <w:rPr>
                <w:rFonts w:hint="eastAsia"/>
                <w:sz w:val="28"/>
                <w:szCs w:val="28"/>
              </w:rPr>
            </w:pPr>
          </w:p>
          <w:p>
            <w:pPr>
              <w:tabs>
                <w:tab w:val="left" w:pos="600"/>
              </w:tabs>
              <w:rPr>
                <w:rFonts w:hint="eastAsia"/>
                <w:b/>
                <w:bCs/>
                <w:sz w:val="28"/>
                <w:szCs w:val="28"/>
              </w:rPr>
            </w:pPr>
            <w:r>
              <w:rPr>
                <w:rFonts w:hint="eastAsia"/>
                <w:b/>
                <w:bCs/>
                <w:sz w:val="28"/>
                <w:szCs w:val="28"/>
              </w:rPr>
              <w:t>三、术语</w:t>
            </w:r>
          </w:p>
          <w:p>
            <w:pPr>
              <w:tabs>
                <w:tab w:val="left" w:pos="735"/>
              </w:tabs>
              <w:ind w:firstLine="557" w:firstLineChars="199"/>
              <w:rPr>
                <w:rFonts w:hint="eastAsia"/>
                <w:b/>
                <w:sz w:val="28"/>
                <w:szCs w:val="28"/>
              </w:rPr>
            </w:pPr>
            <w:r>
              <w:rPr>
                <w:rFonts w:hint="eastAsia"/>
                <w:sz w:val="28"/>
                <w:szCs w:val="28"/>
              </w:rPr>
              <w:t>1、危化品</w:t>
            </w:r>
          </w:p>
          <w:p>
            <w:pPr>
              <w:ind w:firstLine="570"/>
              <w:rPr>
                <w:rFonts w:hint="eastAsia"/>
                <w:sz w:val="28"/>
                <w:szCs w:val="28"/>
              </w:rPr>
            </w:pPr>
            <w:r>
              <w:rPr>
                <w:rFonts w:hint="eastAsia"/>
                <w:sz w:val="28"/>
                <w:szCs w:val="28"/>
              </w:rPr>
              <w:t>是指有危险的化学品。</w:t>
            </w:r>
          </w:p>
          <w:p>
            <w:pPr>
              <w:rPr>
                <w:sz w:val="28"/>
                <w:szCs w:val="28"/>
              </w:rPr>
            </w:pPr>
            <w:r>
              <w:rPr>
                <w:rFonts w:hint="eastAsia"/>
                <w:sz w:val="28"/>
                <w:szCs w:val="28"/>
              </w:rPr>
              <w:t xml:space="preserve">    2、危化品事故</w:t>
            </w:r>
          </w:p>
          <w:p>
            <w:pPr>
              <w:tabs>
                <w:tab w:val="left" w:pos="600"/>
              </w:tabs>
              <w:rPr>
                <w:rFonts w:hint="eastAsia"/>
                <w:sz w:val="28"/>
                <w:szCs w:val="28"/>
              </w:rPr>
            </w:pPr>
            <w:r>
              <w:rPr>
                <w:sz w:val="28"/>
                <w:szCs w:val="28"/>
              </w:rPr>
              <w:tab/>
            </w:r>
            <w:r>
              <w:rPr>
                <w:rFonts w:hint="eastAsia"/>
                <w:sz w:val="28"/>
                <w:szCs w:val="28"/>
              </w:rPr>
              <w:t>是指危化品其量意外释放造成的人身伤亡，其意外泄漏造成燃烧、爆炸或环境污染事故。</w:t>
            </w:r>
          </w:p>
          <w:p>
            <w:pPr>
              <w:tabs>
                <w:tab w:val="left" w:pos="600"/>
              </w:tabs>
              <w:ind w:firstLine="570"/>
              <w:rPr>
                <w:rFonts w:hint="eastAsia"/>
                <w:sz w:val="28"/>
                <w:szCs w:val="28"/>
              </w:rPr>
            </w:pPr>
            <w:r>
              <w:rPr>
                <w:rFonts w:hint="eastAsia"/>
                <w:sz w:val="28"/>
                <w:szCs w:val="28"/>
              </w:rPr>
              <w:t>3、应急救援</w:t>
            </w:r>
          </w:p>
          <w:p>
            <w:pPr>
              <w:tabs>
                <w:tab w:val="left" w:pos="600"/>
              </w:tabs>
              <w:ind w:firstLine="570"/>
              <w:rPr>
                <w:rFonts w:hint="eastAsia"/>
                <w:sz w:val="28"/>
                <w:szCs w:val="28"/>
              </w:rPr>
            </w:pPr>
            <w:r>
              <w:rPr>
                <w:rFonts w:hint="eastAsia"/>
                <w:sz w:val="28"/>
                <w:szCs w:val="28"/>
              </w:rPr>
              <w:t>是指以发生事故时，采取的消除、减少事故危害和防止事故恶化，最大限度降低事故损失的措施。</w:t>
            </w:r>
          </w:p>
          <w:p>
            <w:pPr>
              <w:tabs>
                <w:tab w:val="left" w:pos="600"/>
              </w:tabs>
              <w:ind w:firstLine="570"/>
              <w:rPr>
                <w:rFonts w:hint="eastAsia"/>
                <w:sz w:val="28"/>
                <w:szCs w:val="28"/>
              </w:rPr>
            </w:pPr>
            <w:r>
              <w:rPr>
                <w:rFonts w:hint="eastAsia"/>
                <w:sz w:val="28"/>
                <w:szCs w:val="28"/>
              </w:rPr>
              <w:t>4、预案</w:t>
            </w:r>
          </w:p>
          <w:p>
            <w:pPr>
              <w:tabs>
                <w:tab w:val="left" w:pos="600"/>
              </w:tabs>
              <w:ind w:firstLine="570"/>
              <w:rPr>
                <w:sz w:val="28"/>
                <w:szCs w:val="28"/>
              </w:rPr>
            </w:pPr>
            <w:r>
              <w:rPr>
                <w:rFonts w:hint="eastAsia"/>
                <w:sz w:val="28"/>
                <w:szCs w:val="28"/>
              </w:rPr>
              <w:t>是指预测危险源、危险目标可能发生事故的类别、危害程度、而制定的事故应急救援方案。充分考虑现有物质、人员及危险源的具体条件，使事故发生时能及时、有效地统筹指导事故应急救援行动。</w:t>
            </w:r>
          </w:p>
          <w:p>
            <w:pPr>
              <w:ind w:firstLine="560" w:firstLineChars="200"/>
              <w:rPr>
                <w:sz w:val="28"/>
                <w:szCs w:val="28"/>
              </w:rPr>
            </w:pPr>
            <w:r>
              <w:rPr>
                <w:rFonts w:hint="eastAsia"/>
                <w:sz w:val="28"/>
                <w:szCs w:val="28"/>
              </w:rPr>
              <w:t>5、危险目标</w:t>
            </w:r>
          </w:p>
          <w:p>
            <w:pPr>
              <w:ind w:firstLine="560" w:firstLineChars="200"/>
              <w:rPr>
                <w:rFonts w:hint="eastAsia"/>
                <w:sz w:val="28"/>
                <w:szCs w:val="28"/>
              </w:rPr>
            </w:pPr>
            <w:r>
              <w:rPr>
                <w:rFonts w:hint="eastAsia"/>
                <w:sz w:val="28"/>
                <w:szCs w:val="28"/>
              </w:rPr>
              <w:t>指危化品 性质、数量可能引起事故的场所和车载货物。</w:t>
            </w:r>
          </w:p>
          <w:p>
            <w:pPr>
              <w:ind w:firstLine="560" w:firstLineChars="200"/>
              <w:rPr>
                <w:rFonts w:hint="eastAsia"/>
                <w:sz w:val="28"/>
                <w:szCs w:val="28"/>
              </w:rPr>
            </w:pPr>
            <w:r>
              <w:rPr>
                <w:rFonts w:hint="eastAsia"/>
                <w:sz w:val="28"/>
                <w:szCs w:val="28"/>
              </w:rPr>
              <w:t>6、直接经济损失</w:t>
            </w:r>
          </w:p>
          <w:p>
            <w:pPr>
              <w:ind w:firstLine="560" w:firstLineChars="200"/>
              <w:rPr>
                <w:rFonts w:hint="eastAsia"/>
                <w:sz w:val="28"/>
                <w:szCs w:val="28"/>
              </w:rPr>
            </w:pPr>
            <w:r>
              <w:rPr>
                <w:rFonts w:hint="eastAsia"/>
                <w:sz w:val="28"/>
                <w:szCs w:val="28"/>
              </w:rPr>
              <w:t>指因事故导致产值减少、资源破坏和受到事故影响而造成其他损失的价值。</w:t>
            </w:r>
          </w:p>
          <w:p>
            <w:pPr>
              <w:ind w:firstLine="560" w:firstLineChars="200"/>
              <w:rPr>
                <w:sz w:val="28"/>
                <w:szCs w:val="28"/>
              </w:rPr>
            </w:pPr>
            <w:r>
              <w:rPr>
                <w:rFonts w:hint="eastAsia"/>
                <w:sz w:val="28"/>
                <w:szCs w:val="28"/>
              </w:rPr>
              <w:t>7、间接经济损失</w:t>
            </w:r>
          </w:p>
          <w:p>
            <w:pPr>
              <w:tabs>
                <w:tab w:val="left" w:pos="625"/>
              </w:tabs>
              <w:rPr>
                <w:rFonts w:hint="eastAsia"/>
                <w:sz w:val="28"/>
                <w:szCs w:val="28"/>
              </w:rPr>
            </w:pPr>
            <w:r>
              <w:rPr>
                <w:sz w:val="28"/>
                <w:szCs w:val="28"/>
              </w:rPr>
              <w:tab/>
            </w:r>
            <w:r>
              <w:rPr>
                <w:rFonts w:hint="eastAsia"/>
                <w:sz w:val="28"/>
                <w:szCs w:val="28"/>
              </w:rPr>
              <w:t>指因事故导致产值减少、资源破坏和受事故影响而造成的其他损失的价值。</w:t>
            </w:r>
          </w:p>
          <w:p>
            <w:pPr>
              <w:tabs>
                <w:tab w:val="left" w:pos="625"/>
              </w:tabs>
              <w:ind w:firstLine="560" w:firstLineChars="200"/>
              <w:outlineLvl w:val="0"/>
              <w:rPr>
                <w:rFonts w:hint="eastAsia"/>
                <w:sz w:val="28"/>
                <w:szCs w:val="28"/>
              </w:rPr>
            </w:pPr>
            <w:r>
              <w:rPr>
                <w:rFonts w:hint="eastAsia"/>
                <w:sz w:val="28"/>
                <w:szCs w:val="28"/>
              </w:rPr>
              <w:t>四、危险目标</w:t>
            </w:r>
            <w:r>
              <w:rPr>
                <w:sz w:val="28"/>
                <w:szCs w:val="28"/>
              </w:rPr>
              <w:tab/>
            </w:r>
          </w:p>
          <w:p>
            <w:pPr>
              <w:tabs>
                <w:tab w:val="left" w:pos="990"/>
              </w:tabs>
              <w:ind w:firstLine="560" w:firstLineChars="200"/>
              <w:rPr>
                <w:rFonts w:hint="eastAsia"/>
                <w:sz w:val="28"/>
                <w:szCs w:val="28"/>
              </w:rPr>
            </w:pPr>
            <w:r>
              <w:rPr>
                <w:rFonts w:hint="eastAsia"/>
                <w:sz w:val="28"/>
                <w:szCs w:val="28"/>
              </w:rPr>
              <w:t>1、危害种类。本公司确定运输的危险货物种类有：</w:t>
            </w:r>
          </w:p>
          <w:p>
            <w:pPr>
              <w:tabs>
                <w:tab w:val="left" w:pos="990"/>
              </w:tabs>
              <w:ind w:firstLine="560" w:firstLineChars="200"/>
              <w:rPr>
                <w:rFonts w:hint="eastAsia"/>
                <w:sz w:val="28"/>
                <w:szCs w:val="28"/>
              </w:rPr>
            </w:pPr>
            <w:r>
              <w:rPr>
                <w:rFonts w:hint="eastAsia"/>
                <w:sz w:val="28"/>
                <w:szCs w:val="28"/>
              </w:rPr>
              <w:t>（1）</w:t>
            </w:r>
            <w:r>
              <w:rPr>
                <w:rFonts w:hint="eastAsia"/>
                <w:sz w:val="28"/>
                <w:szCs w:val="28"/>
                <w:lang w:eastAsia="zh-CN"/>
              </w:rPr>
              <w:t>危险废物：垃圾飞灰、电镀污泥</w:t>
            </w:r>
            <w:r>
              <w:rPr>
                <w:rFonts w:hint="eastAsia"/>
                <w:sz w:val="28"/>
                <w:szCs w:val="28"/>
              </w:rPr>
              <w:t>；（2）</w:t>
            </w:r>
            <w:r>
              <w:rPr>
                <w:rFonts w:hint="eastAsia"/>
                <w:sz w:val="28"/>
                <w:szCs w:val="28"/>
                <w:lang w:eastAsia="zh-CN"/>
              </w:rPr>
              <w:t>酚焦油</w:t>
            </w:r>
            <w:r>
              <w:rPr>
                <w:rFonts w:hint="eastAsia"/>
                <w:sz w:val="28"/>
                <w:szCs w:val="28"/>
              </w:rPr>
              <w:t>；共</w:t>
            </w:r>
            <w:r>
              <w:rPr>
                <w:rFonts w:hint="eastAsia"/>
                <w:sz w:val="28"/>
                <w:szCs w:val="28"/>
                <w:lang w:eastAsia="zh-CN"/>
              </w:rPr>
              <w:t>二</w:t>
            </w:r>
            <w:r>
              <w:rPr>
                <w:rFonts w:hint="eastAsia"/>
                <w:sz w:val="28"/>
                <w:szCs w:val="28"/>
              </w:rPr>
              <w:t>大类。</w:t>
            </w:r>
          </w:p>
          <w:p>
            <w:pPr>
              <w:tabs>
                <w:tab w:val="left" w:pos="990"/>
              </w:tabs>
              <w:ind w:firstLine="560" w:firstLineChars="200"/>
              <w:rPr>
                <w:rFonts w:hint="eastAsia"/>
                <w:sz w:val="28"/>
                <w:szCs w:val="28"/>
              </w:rPr>
            </w:pPr>
            <w:r>
              <w:rPr>
                <w:rFonts w:hint="eastAsia"/>
                <w:sz w:val="28"/>
                <w:szCs w:val="28"/>
              </w:rPr>
              <w:t>2、 危险目标的危险特性及周边的影响</w:t>
            </w:r>
          </w:p>
          <w:p>
            <w:pPr>
              <w:tabs>
                <w:tab w:val="left" w:pos="990"/>
              </w:tabs>
              <w:ind w:firstLine="560" w:firstLineChars="200"/>
              <w:rPr>
                <w:rFonts w:hint="eastAsia" w:eastAsia="微软雅黑"/>
                <w:sz w:val="28"/>
                <w:szCs w:val="28"/>
                <w:lang w:eastAsia="zh-CN"/>
              </w:rPr>
            </w:pPr>
            <w:r>
              <w:rPr>
                <w:rFonts w:hint="eastAsia"/>
                <w:sz w:val="28"/>
                <w:szCs w:val="28"/>
              </w:rPr>
              <w:t>（1）、a、</w:t>
            </w:r>
            <w:r>
              <w:rPr>
                <w:rFonts w:hint="eastAsia"/>
                <w:sz w:val="28"/>
                <w:szCs w:val="28"/>
                <w:lang w:eastAsia="zh-CN"/>
              </w:rPr>
              <w:t>垃圾飞灰</w:t>
            </w:r>
          </w:p>
          <w:p>
            <w:pPr>
              <w:tabs>
                <w:tab w:val="left" w:pos="990"/>
              </w:tabs>
              <w:ind w:firstLine="630"/>
              <w:rPr>
                <w:rFonts w:hint="eastAsia"/>
                <w:sz w:val="28"/>
                <w:szCs w:val="28"/>
              </w:rPr>
            </w:pPr>
            <w:r>
              <w:rPr>
                <w:rFonts w:hint="eastAsia"/>
                <w:sz w:val="28"/>
                <w:szCs w:val="28"/>
              </w:rPr>
              <w:t>危险性类别：</w:t>
            </w:r>
            <w:r>
              <w:rPr>
                <w:rFonts w:hint="eastAsia"/>
                <w:sz w:val="28"/>
                <w:szCs w:val="28"/>
                <w:lang w:eastAsia="zh-CN"/>
              </w:rPr>
              <w:t>危险废物</w:t>
            </w:r>
            <w:r>
              <w:rPr>
                <w:rFonts w:hint="eastAsia"/>
                <w:sz w:val="28"/>
                <w:szCs w:val="28"/>
              </w:rPr>
              <w:t>；危规号:</w:t>
            </w:r>
            <w:r>
              <w:rPr>
                <w:rFonts w:hint="eastAsia"/>
                <w:sz w:val="28"/>
                <w:szCs w:val="28"/>
                <w:lang w:val="en-US" w:eastAsia="zh-CN"/>
              </w:rPr>
              <w:t>HW18</w:t>
            </w:r>
            <w:r>
              <w:rPr>
                <w:rFonts w:hint="eastAsia"/>
                <w:sz w:val="28"/>
                <w:szCs w:val="28"/>
              </w:rPr>
              <w:t>;UN编号：；包装分类：包装标识：。</w:t>
            </w:r>
          </w:p>
          <w:p>
            <w:pPr>
              <w:tabs>
                <w:tab w:val="left" w:pos="990"/>
              </w:tabs>
              <w:ind w:firstLine="630"/>
              <w:rPr>
                <w:rFonts w:hint="eastAsia"/>
                <w:sz w:val="28"/>
                <w:szCs w:val="28"/>
              </w:rPr>
            </w:pPr>
            <w:r>
              <w:rPr>
                <w:rFonts w:hint="eastAsia"/>
                <w:sz w:val="28"/>
                <w:szCs w:val="28"/>
              </w:rPr>
              <w:t>危险特性：</w:t>
            </w:r>
            <w:r>
              <w:rPr>
                <w:rFonts w:hint="eastAsia"/>
                <w:sz w:val="28"/>
                <w:szCs w:val="28"/>
                <w:lang w:eastAsia="zh-CN"/>
              </w:rPr>
              <w:t>有害重金属和氯含量高，对人体健康有害</w:t>
            </w:r>
            <w:r>
              <w:rPr>
                <w:rFonts w:hint="eastAsia"/>
                <w:sz w:val="28"/>
                <w:szCs w:val="28"/>
              </w:rPr>
              <w:t>。</w:t>
            </w:r>
          </w:p>
          <w:p>
            <w:pPr>
              <w:tabs>
                <w:tab w:val="left" w:pos="990"/>
              </w:tabs>
              <w:ind w:firstLine="630"/>
              <w:rPr>
                <w:rFonts w:hint="eastAsia"/>
                <w:sz w:val="28"/>
                <w:szCs w:val="28"/>
              </w:rPr>
            </w:pPr>
            <w:r>
              <w:rPr>
                <w:rFonts w:hint="eastAsia"/>
                <w:sz w:val="28"/>
                <w:szCs w:val="28"/>
              </w:rPr>
              <w:t>对周边的影响：工作现场</w:t>
            </w:r>
            <w:r>
              <w:rPr>
                <w:rFonts w:hint="eastAsia"/>
                <w:sz w:val="28"/>
                <w:szCs w:val="28"/>
                <w:lang w:eastAsia="zh-CN"/>
              </w:rPr>
              <w:t>佩戴防毒面罩</w:t>
            </w:r>
            <w:r>
              <w:rPr>
                <w:rFonts w:hint="eastAsia"/>
                <w:sz w:val="28"/>
                <w:szCs w:val="28"/>
              </w:rPr>
              <w:t>、保持良好的卫生习惯。</w:t>
            </w:r>
          </w:p>
          <w:p>
            <w:pPr>
              <w:numPr>
                <w:ilvl w:val="0"/>
                <w:numId w:val="0"/>
              </w:numPr>
              <w:tabs>
                <w:tab w:val="left" w:pos="990"/>
                <w:tab w:val="left" w:pos="1100"/>
              </w:tabs>
              <w:ind w:firstLine="560" w:firstLineChars="200"/>
              <w:rPr>
                <w:rFonts w:hint="eastAsia"/>
                <w:sz w:val="28"/>
                <w:szCs w:val="28"/>
                <w:lang w:eastAsia="zh-CN"/>
              </w:rPr>
            </w:pPr>
            <w:r>
              <w:rPr>
                <w:rFonts w:hint="eastAsia"/>
                <w:sz w:val="28"/>
                <w:szCs w:val="28"/>
                <w:lang w:eastAsia="zh-CN"/>
              </w:rPr>
              <w:t>（</w:t>
            </w:r>
            <w:r>
              <w:rPr>
                <w:rFonts w:hint="eastAsia"/>
                <w:sz w:val="28"/>
                <w:szCs w:val="28"/>
                <w:lang w:val="en-US" w:eastAsia="zh-CN"/>
              </w:rPr>
              <w:t>1）</w:t>
            </w:r>
            <w:r>
              <w:rPr>
                <w:rFonts w:hint="eastAsia"/>
                <w:sz w:val="28"/>
                <w:szCs w:val="28"/>
              </w:rPr>
              <w:t>、b、</w:t>
            </w:r>
            <w:r>
              <w:rPr>
                <w:rFonts w:hint="eastAsia"/>
                <w:sz w:val="28"/>
                <w:szCs w:val="28"/>
                <w:lang w:eastAsia="zh-CN"/>
              </w:rPr>
              <w:t>电镀污泥</w:t>
            </w:r>
          </w:p>
          <w:p>
            <w:pPr>
              <w:tabs>
                <w:tab w:val="left" w:pos="990"/>
              </w:tabs>
              <w:ind w:firstLine="630"/>
              <w:rPr>
                <w:rFonts w:hint="eastAsia"/>
                <w:sz w:val="28"/>
                <w:szCs w:val="28"/>
              </w:rPr>
            </w:pPr>
            <w:r>
              <w:rPr>
                <w:rFonts w:hint="eastAsia"/>
                <w:sz w:val="28"/>
                <w:szCs w:val="28"/>
              </w:rPr>
              <w:t>危险性类别：</w:t>
            </w:r>
            <w:r>
              <w:rPr>
                <w:rFonts w:hint="eastAsia"/>
                <w:sz w:val="28"/>
                <w:szCs w:val="28"/>
                <w:lang w:eastAsia="zh-CN"/>
              </w:rPr>
              <w:t>危险废物</w:t>
            </w:r>
            <w:r>
              <w:rPr>
                <w:rFonts w:hint="eastAsia"/>
                <w:sz w:val="28"/>
                <w:szCs w:val="28"/>
              </w:rPr>
              <w:t>；危规号:</w:t>
            </w:r>
            <w:r>
              <w:rPr>
                <w:rFonts w:hint="eastAsia"/>
                <w:sz w:val="28"/>
                <w:szCs w:val="28"/>
                <w:lang w:val="en-US" w:eastAsia="zh-CN"/>
              </w:rPr>
              <w:t>HW17</w:t>
            </w:r>
            <w:r>
              <w:rPr>
                <w:rFonts w:hint="eastAsia"/>
                <w:sz w:val="28"/>
                <w:szCs w:val="28"/>
              </w:rPr>
              <w:t>;UN编号：；包装分类：包装标识：。</w:t>
            </w:r>
          </w:p>
          <w:p>
            <w:pPr>
              <w:tabs>
                <w:tab w:val="left" w:pos="990"/>
              </w:tabs>
              <w:ind w:firstLine="630"/>
              <w:rPr>
                <w:rFonts w:hint="eastAsia"/>
                <w:sz w:val="28"/>
                <w:szCs w:val="28"/>
              </w:rPr>
            </w:pPr>
            <w:r>
              <w:rPr>
                <w:rFonts w:hint="eastAsia"/>
                <w:sz w:val="28"/>
                <w:szCs w:val="28"/>
              </w:rPr>
              <w:t>危险特性：</w:t>
            </w:r>
            <w:r>
              <w:rPr>
                <w:rFonts w:hint="eastAsia"/>
                <w:sz w:val="28"/>
                <w:szCs w:val="28"/>
                <w:lang w:eastAsia="zh-CN"/>
              </w:rPr>
              <w:t>有害重金属含量高，对人体健康有害</w:t>
            </w:r>
            <w:r>
              <w:rPr>
                <w:rFonts w:hint="eastAsia"/>
                <w:sz w:val="28"/>
                <w:szCs w:val="28"/>
              </w:rPr>
              <w:t>。</w:t>
            </w:r>
          </w:p>
          <w:p>
            <w:pPr>
              <w:tabs>
                <w:tab w:val="left" w:pos="990"/>
              </w:tabs>
              <w:ind w:firstLine="630"/>
              <w:rPr>
                <w:rFonts w:hint="eastAsia"/>
                <w:sz w:val="28"/>
                <w:szCs w:val="28"/>
              </w:rPr>
            </w:pPr>
            <w:r>
              <w:rPr>
                <w:rFonts w:hint="eastAsia"/>
                <w:sz w:val="28"/>
                <w:szCs w:val="28"/>
              </w:rPr>
              <w:t>对周边的影响：工作现场</w:t>
            </w:r>
            <w:r>
              <w:rPr>
                <w:rFonts w:hint="eastAsia"/>
                <w:sz w:val="28"/>
                <w:szCs w:val="28"/>
                <w:lang w:eastAsia="zh-CN"/>
              </w:rPr>
              <w:t>佩戴防毒面罩</w:t>
            </w:r>
            <w:r>
              <w:rPr>
                <w:rFonts w:hint="eastAsia"/>
                <w:sz w:val="28"/>
                <w:szCs w:val="28"/>
              </w:rPr>
              <w:t>、保持良好的卫生习惯。</w:t>
            </w:r>
          </w:p>
          <w:p>
            <w:pPr>
              <w:tabs>
                <w:tab w:val="left" w:pos="990"/>
              </w:tabs>
              <w:ind w:firstLine="630"/>
              <w:rPr>
                <w:rFonts w:hint="eastAsia" w:eastAsia="微软雅黑"/>
                <w:sz w:val="28"/>
                <w:szCs w:val="28"/>
                <w:lang w:eastAsia="zh-CN"/>
              </w:rPr>
            </w:pPr>
            <w:r>
              <w:rPr>
                <w:rFonts w:hint="eastAsia"/>
                <w:sz w:val="28"/>
                <w:szCs w:val="28"/>
              </w:rPr>
              <w:t>（</w:t>
            </w:r>
            <w:r>
              <w:rPr>
                <w:rFonts w:hint="eastAsia"/>
                <w:sz w:val="28"/>
                <w:szCs w:val="28"/>
                <w:lang w:val="en-US" w:eastAsia="zh-CN"/>
              </w:rPr>
              <w:t>2</w:t>
            </w:r>
            <w:r>
              <w:rPr>
                <w:rFonts w:hint="eastAsia"/>
                <w:sz w:val="28"/>
                <w:szCs w:val="28"/>
              </w:rPr>
              <w:t>）、</w:t>
            </w:r>
            <w:r>
              <w:rPr>
                <w:rFonts w:hint="eastAsia"/>
                <w:sz w:val="28"/>
                <w:szCs w:val="28"/>
                <w:lang w:eastAsia="zh-CN"/>
              </w:rPr>
              <w:t>酚焦油</w:t>
            </w:r>
          </w:p>
          <w:p>
            <w:pPr>
              <w:tabs>
                <w:tab w:val="left" w:pos="990"/>
              </w:tabs>
              <w:ind w:firstLine="630"/>
              <w:rPr>
                <w:rFonts w:hint="eastAsia"/>
                <w:sz w:val="28"/>
                <w:szCs w:val="28"/>
              </w:rPr>
            </w:pPr>
            <w:r>
              <w:rPr>
                <w:rFonts w:hint="eastAsia"/>
                <w:sz w:val="28"/>
                <w:szCs w:val="28"/>
              </w:rPr>
              <w:t>危险性类别：第</w:t>
            </w:r>
            <w:r>
              <w:rPr>
                <w:rFonts w:hint="eastAsia"/>
                <w:sz w:val="28"/>
                <w:szCs w:val="28"/>
                <w:lang w:val="en-US" w:eastAsia="zh-CN"/>
              </w:rPr>
              <w:t>3</w:t>
            </w:r>
            <w:r>
              <w:rPr>
                <w:rFonts w:hint="eastAsia"/>
                <w:sz w:val="28"/>
                <w:szCs w:val="28"/>
              </w:rPr>
              <w:t>类</w:t>
            </w:r>
            <w:r>
              <w:rPr>
                <w:rFonts w:hint="eastAsia"/>
                <w:sz w:val="28"/>
                <w:szCs w:val="28"/>
                <w:lang w:eastAsia="zh-CN"/>
              </w:rPr>
              <w:t>易燃物品</w:t>
            </w:r>
            <w:r>
              <w:rPr>
                <w:rFonts w:hint="eastAsia"/>
                <w:sz w:val="28"/>
                <w:szCs w:val="28"/>
              </w:rPr>
              <w:t>；危规号：</w:t>
            </w:r>
            <w:r>
              <w:rPr>
                <w:rFonts w:hint="eastAsia"/>
                <w:sz w:val="28"/>
                <w:szCs w:val="28"/>
                <w:lang w:val="en-US" w:eastAsia="zh-CN"/>
              </w:rPr>
              <w:t>1999</w:t>
            </w:r>
            <w:r>
              <w:rPr>
                <w:rFonts w:hint="eastAsia"/>
                <w:sz w:val="28"/>
                <w:szCs w:val="28"/>
              </w:rPr>
              <w:t>；包装分类：III；包装标志：有毒。</w:t>
            </w:r>
          </w:p>
          <w:p>
            <w:pPr>
              <w:tabs>
                <w:tab w:val="left" w:pos="990"/>
              </w:tabs>
              <w:ind w:firstLine="630"/>
              <w:rPr>
                <w:rFonts w:hint="eastAsia"/>
                <w:sz w:val="28"/>
                <w:szCs w:val="28"/>
              </w:rPr>
            </w:pPr>
            <w:r>
              <w:rPr>
                <w:rFonts w:hint="eastAsia"/>
                <w:sz w:val="28"/>
                <w:szCs w:val="28"/>
              </w:rPr>
              <w:t>危险特性：遇明火</w:t>
            </w:r>
            <w:r>
              <w:rPr>
                <w:rFonts w:hint="eastAsia"/>
                <w:sz w:val="28"/>
                <w:szCs w:val="28"/>
                <w:lang w:eastAsia="zh-CN"/>
              </w:rPr>
              <w:t>可能会燃烧</w:t>
            </w:r>
            <w:r>
              <w:rPr>
                <w:rFonts w:hint="eastAsia"/>
                <w:sz w:val="28"/>
                <w:szCs w:val="28"/>
              </w:rPr>
              <w:t>。受高热</w:t>
            </w:r>
            <w:r>
              <w:rPr>
                <w:rFonts w:hint="eastAsia"/>
                <w:sz w:val="28"/>
                <w:szCs w:val="28"/>
                <w:lang w:eastAsia="zh-CN"/>
              </w:rPr>
              <w:t>有爆炸危险，其蒸汽与空气混合形成爆炸混合物</w:t>
            </w:r>
            <w:r>
              <w:rPr>
                <w:rFonts w:hint="eastAsia"/>
                <w:sz w:val="28"/>
                <w:szCs w:val="28"/>
              </w:rPr>
              <w:t>。</w:t>
            </w:r>
          </w:p>
          <w:p>
            <w:pPr>
              <w:tabs>
                <w:tab w:val="left" w:pos="990"/>
              </w:tabs>
              <w:ind w:firstLine="630"/>
              <w:rPr>
                <w:rFonts w:hint="eastAsia"/>
                <w:sz w:val="28"/>
                <w:szCs w:val="28"/>
              </w:rPr>
            </w:pPr>
            <w:r>
              <w:rPr>
                <w:rFonts w:hint="eastAsia"/>
                <w:sz w:val="28"/>
                <w:szCs w:val="28"/>
              </w:rPr>
              <w:t>对周边的影响：该物质对环境有危害。</w:t>
            </w:r>
          </w:p>
          <w:p>
            <w:pPr>
              <w:ind w:firstLine="560" w:firstLineChars="200"/>
              <w:outlineLvl w:val="0"/>
              <w:rPr>
                <w:rFonts w:hint="eastAsia"/>
                <w:sz w:val="28"/>
                <w:szCs w:val="28"/>
              </w:rPr>
            </w:pPr>
            <w:r>
              <w:rPr>
                <w:rFonts w:hint="eastAsia"/>
                <w:sz w:val="28"/>
                <w:szCs w:val="28"/>
              </w:rPr>
              <w:t>五、应急救援组织机构、组成人员和职责</w:t>
            </w:r>
          </w:p>
          <w:p>
            <w:pPr>
              <w:ind w:firstLine="560" w:firstLineChars="200"/>
              <w:rPr>
                <w:sz w:val="28"/>
                <w:szCs w:val="28"/>
              </w:rPr>
            </w:pPr>
            <w:r>
              <w:rPr>
                <w:rFonts w:hint="eastAsia"/>
                <w:sz w:val="28"/>
                <w:szCs w:val="28"/>
              </w:rPr>
              <w:t>1、应急救援组织机构和组成人员</w:t>
            </w:r>
          </w:p>
          <w:p>
            <w:pPr>
              <w:ind w:firstLine="560" w:firstLineChars="200"/>
              <w:rPr>
                <w:rFonts w:hint="eastAsia"/>
                <w:sz w:val="28"/>
                <w:szCs w:val="28"/>
              </w:rPr>
            </w:pPr>
            <w:r>
              <w:rPr>
                <w:rFonts w:hint="eastAsia"/>
                <w:sz w:val="28"/>
                <w:szCs w:val="28"/>
              </w:rPr>
              <w:t>公司成立危险化学品运输事故应急救援指挥部，负责公司危险化学品运输事故应急处理的各项工作。承担危险化学品运输的车辆和驾驶员积极配合用车单位危险化学品运输事故的应急救援工作。</w:t>
            </w:r>
          </w:p>
          <w:p>
            <w:pPr>
              <w:ind w:firstLine="560" w:firstLineChars="200"/>
              <w:rPr>
                <w:rFonts w:hint="eastAsia"/>
                <w:sz w:val="28"/>
                <w:szCs w:val="28"/>
              </w:rPr>
            </w:pPr>
            <w:r>
              <w:rPr>
                <w:rFonts w:hint="eastAsia"/>
                <w:sz w:val="28"/>
                <w:szCs w:val="28"/>
              </w:rPr>
              <w:t>公司危货运输事故应急救援指挥部：</w:t>
            </w:r>
          </w:p>
          <w:p>
            <w:pPr>
              <w:ind w:firstLine="560" w:firstLineChars="200"/>
              <w:rPr>
                <w:rFonts w:hint="eastAsia"/>
                <w:color w:val="FF0000"/>
                <w:sz w:val="28"/>
                <w:szCs w:val="28"/>
              </w:rPr>
            </w:pPr>
            <w:r>
              <w:rPr>
                <w:rFonts w:hint="eastAsia"/>
                <w:color w:val="FF0000"/>
                <w:sz w:val="28"/>
                <w:szCs w:val="28"/>
              </w:rPr>
              <w:t>总 指 挥：</w:t>
            </w:r>
            <w:r>
              <w:rPr>
                <w:rFonts w:hint="eastAsia"/>
                <w:color w:val="FF0000"/>
                <w:sz w:val="28"/>
                <w:szCs w:val="28"/>
                <w:lang w:eastAsia="zh-CN"/>
              </w:rPr>
              <w:t>王之君</w:t>
            </w:r>
          </w:p>
          <w:p>
            <w:pPr>
              <w:ind w:firstLine="560" w:firstLineChars="200"/>
              <w:rPr>
                <w:rFonts w:hint="eastAsia"/>
                <w:color w:val="FF0000"/>
                <w:sz w:val="28"/>
                <w:szCs w:val="28"/>
              </w:rPr>
            </w:pPr>
            <w:r>
              <w:rPr>
                <w:rFonts w:hint="eastAsia"/>
                <w:color w:val="FF0000"/>
                <w:sz w:val="28"/>
                <w:szCs w:val="28"/>
              </w:rPr>
              <w:t>副总指挥：</w:t>
            </w:r>
            <w:r>
              <w:rPr>
                <w:rFonts w:hint="eastAsia"/>
                <w:color w:val="FF0000"/>
                <w:sz w:val="28"/>
                <w:szCs w:val="28"/>
                <w:lang w:val="en-US" w:eastAsia="zh-CN"/>
              </w:rPr>
              <w:t>方夏忠</w:t>
            </w:r>
          </w:p>
          <w:p>
            <w:pPr>
              <w:ind w:firstLine="560" w:firstLineChars="200"/>
              <w:rPr>
                <w:rFonts w:hint="default"/>
                <w:color w:val="FF0000"/>
                <w:sz w:val="28"/>
                <w:szCs w:val="28"/>
                <w:lang w:val="en-US" w:eastAsia="zh-CN"/>
              </w:rPr>
            </w:pPr>
            <w:r>
              <w:rPr>
                <w:rFonts w:hint="eastAsia"/>
                <w:color w:val="FF0000"/>
                <w:sz w:val="28"/>
                <w:szCs w:val="28"/>
              </w:rPr>
              <w:t>成</w:t>
            </w:r>
            <w:r>
              <w:rPr>
                <w:rFonts w:hint="eastAsia"/>
                <w:color w:val="FF0000"/>
                <w:sz w:val="28"/>
                <w:szCs w:val="28"/>
                <w:lang w:val="en-US" w:eastAsia="zh-CN"/>
              </w:rPr>
              <w:t xml:space="preserve">    </w:t>
            </w:r>
            <w:r>
              <w:rPr>
                <w:rFonts w:hint="eastAsia"/>
                <w:color w:val="FF0000"/>
                <w:sz w:val="28"/>
                <w:szCs w:val="28"/>
              </w:rPr>
              <w:t>员：</w:t>
            </w:r>
            <w:r>
              <w:rPr>
                <w:rFonts w:hint="eastAsia"/>
                <w:color w:val="FF0000"/>
                <w:sz w:val="28"/>
                <w:szCs w:val="28"/>
                <w:lang w:val="en-US" w:eastAsia="zh-CN"/>
              </w:rPr>
              <w:t>周铃儿、胡涵婧，汪时荣  汪莉</w:t>
            </w:r>
          </w:p>
          <w:p>
            <w:pPr>
              <w:ind w:firstLine="560" w:firstLineChars="200"/>
              <w:rPr>
                <w:rFonts w:hint="eastAsia"/>
                <w:sz w:val="28"/>
                <w:szCs w:val="28"/>
              </w:rPr>
            </w:pPr>
            <w:r>
              <w:rPr>
                <w:rFonts w:hint="eastAsia"/>
                <w:sz w:val="28"/>
                <w:szCs w:val="28"/>
              </w:rPr>
              <w:t>应救援指挥部下设办公室：</w:t>
            </w:r>
          </w:p>
          <w:p>
            <w:pPr>
              <w:ind w:firstLine="560" w:firstLineChars="200"/>
              <w:rPr>
                <w:rFonts w:hint="default"/>
                <w:color w:val="FF0000"/>
                <w:sz w:val="28"/>
                <w:szCs w:val="28"/>
                <w:lang w:val="en-US"/>
              </w:rPr>
            </w:pPr>
            <w:r>
              <w:rPr>
                <w:rFonts w:hint="eastAsia"/>
                <w:color w:val="FF0000"/>
                <w:sz w:val="28"/>
                <w:szCs w:val="28"/>
              </w:rPr>
              <w:t>主任：</w:t>
            </w:r>
            <w:r>
              <w:rPr>
                <w:rFonts w:hint="eastAsia"/>
                <w:color w:val="FF0000"/>
                <w:sz w:val="28"/>
                <w:szCs w:val="28"/>
                <w:lang w:val="en-US" w:eastAsia="zh-CN"/>
              </w:rPr>
              <w:t>方夏忠</w:t>
            </w:r>
          </w:p>
          <w:p>
            <w:pPr>
              <w:ind w:firstLine="560" w:firstLineChars="200"/>
              <w:rPr>
                <w:rFonts w:hint="default"/>
                <w:color w:val="FF0000"/>
                <w:sz w:val="28"/>
                <w:szCs w:val="28"/>
                <w:lang w:val="en-US" w:eastAsia="zh-CN"/>
              </w:rPr>
            </w:pPr>
            <w:r>
              <w:rPr>
                <w:rFonts w:hint="eastAsia"/>
                <w:color w:val="FF0000"/>
                <w:sz w:val="28"/>
                <w:szCs w:val="28"/>
              </w:rPr>
              <w:t>成员：</w:t>
            </w:r>
            <w:r>
              <w:rPr>
                <w:rFonts w:hint="eastAsia"/>
                <w:color w:val="FF0000"/>
                <w:sz w:val="28"/>
                <w:szCs w:val="28"/>
                <w:lang w:val="en-US" w:eastAsia="zh-CN"/>
              </w:rPr>
              <w:t>周铃儿、胡涵婧，汪时荣  汪莉</w:t>
            </w:r>
          </w:p>
          <w:p>
            <w:pPr>
              <w:ind w:firstLine="560" w:firstLineChars="200"/>
              <w:rPr>
                <w:rFonts w:hint="eastAsia" w:eastAsia="宋体" w:cs="宋体"/>
                <w:sz w:val="28"/>
                <w:szCs w:val="28"/>
                <w:highlight w:val="yellow"/>
                <w:lang w:val="en-US" w:eastAsia="zh-CN"/>
              </w:rPr>
            </w:pPr>
            <w:r>
              <w:rPr>
                <w:rFonts w:hint="eastAsia"/>
                <w:sz w:val="28"/>
                <w:szCs w:val="28"/>
              </w:rPr>
              <w:t>办公室设在安全</w:t>
            </w:r>
            <w:r>
              <w:rPr>
                <w:rFonts w:hint="eastAsia"/>
                <w:sz w:val="28"/>
                <w:szCs w:val="28"/>
                <w:lang w:eastAsia="zh-CN"/>
              </w:rPr>
              <w:t>管理科</w:t>
            </w:r>
            <w:r>
              <w:rPr>
                <w:rFonts w:hint="eastAsia"/>
                <w:sz w:val="28"/>
                <w:szCs w:val="28"/>
              </w:rPr>
              <w:t>。</w:t>
            </w:r>
            <w:r>
              <w:rPr>
                <w:rFonts w:hint="eastAsia"/>
                <w:sz w:val="28"/>
                <w:szCs w:val="28"/>
                <w:highlight w:val="yellow"/>
              </w:rPr>
              <w:t>联系电话：</w:t>
            </w:r>
            <w:r>
              <w:rPr>
                <w:rFonts w:hint="eastAsia"/>
                <w:sz w:val="28"/>
                <w:szCs w:val="28"/>
                <w:highlight w:val="yellow"/>
                <w:lang w:val="en-US" w:eastAsia="zh-CN"/>
              </w:rPr>
              <w:t>0570-</w:t>
            </w:r>
            <w:r>
              <w:rPr>
                <w:rFonts w:hint="eastAsia" w:eastAsia="宋体" w:cs="宋体"/>
                <w:sz w:val="28"/>
                <w:szCs w:val="28"/>
                <w:highlight w:val="yellow"/>
                <w:lang w:val="en-US" w:eastAsia="zh-CN"/>
              </w:rPr>
              <w:t>6011088</w:t>
            </w:r>
          </w:p>
          <w:p>
            <w:pPr>
              <w:ind w:firstLine="560" w:firstLineChars="200"/>
              <w:rPr>
                <w:rFonts w:hint="eastAsia"/>
                <w:sz w:val="28"/>
                <w:szCs w:val="28"/>
              </w:rPr>
            </w:pPr>
            <w:r>
              <w:rPr>
                <w:rFonts w:hint="eastAsia"/>
                <w:sz w:val="28"/>
                <w:szCs w:val="28"/>
              </w:rPr>
              <w:t xml:space="preserve"> 2、职责</w:t>
            </w:r>
          </w:p>
          <w:p>
            <w:pPr>
              <w:ind w:firstLine="560" w:firstLineChars="200"/>
              <w:rPr>
                <w:rFonts w:hint="eastAsia"/>
                <w:sz w:val="28"/>
                <w:szCs w:val="28"/>
              </w:rPr>
            </w:pPr>
            <w:r>
              <w:rPr>
                <w:rFonts w:hint="eastAsia"/>
                <w:sz w:val="28"/>
                <w:szCs w:val="28"/>
              </w:rPr>
              <w:t>（1）、应急指挥部职责：</w:t>
            </w:r>
          </w:p>
          <w:p>
            <w:pPr>
              <w:ind w:firstLine="560" w:firstLineChars="200"/>
              <w:rPr>
                <w:rFonts w:hint="eastAsia"/>
                <w:sz w:val="28"/>
                <w:szCs w:val="28"/>
              </w:rPr>
            </w:pPr>
            <w:r>
              <w:rPr>
                <w:rFonts w:hint="eastAsia"/>
                <w:sz w:val="28"/>
                <w:szCs w:val="28"/>
              </w:rPr>
              <w:t>a、负责公司危货运输事故应急处理总体工作，是应急处理的指挥机构;</w:t>
            </w:r>
          </w:p>
          <w:p>
            <w:pPr>
              <w:ind w:firstLine="560" w:firstLineChars="200"/>
              <w:rPr>
                <w:rFonts w:hint="eastAsia"/>
                <w:sz w:val="28"/>
                <w:szCs w:val="28"/>
              </w:rPr>
            </w:pPr>
            <w:r>
              <w:rPr>
                <w:rFonts w:hint="eastAsia"/>
                <w:sz w:val="28"/>
                <w:szCs w:val="28"/>
              </w:rPr>
              <w:t>b、平时负责、检查各车辆应急处理机构及预案的制定、完善、演练及监督各项安全措施的落实；</w:t>
            </w:r>
          </w:p>
          <w:p>
            <w:pPr>
              <w:ind w:firstLine="560" w:firstLineChars="200"/>
              <w:rPr>
                <w:rFonts w:hint="eastAsia"/>
                <w:sz w:val="28"/>
                <w:szCs w:val="28"/>
              </w:rPr>
            </w:pPr>
            <w:r>
              <w:rPr>
                <w:rFonts w:hint="eastAsia"/>
                <w:sz w:val="28"/>
                <w:szCs w:val="28"/>
              </w:rPr>
              <w:t>c、负责危货运输事故发生后的重要事项的决策及向上一级部门汇报事宜；</w:t>
            </w:r>
          </w:p>
          <w:p>
            <w:pPr>
              <w:ind w:firstLine="560" w:firstLineChars="200"/>
              <w:rPr>
                <w:rFonts w:hint="eastAsia"/>
                <w:sz w:val="28"/>
                <w:szCs w:val="28"/>
              </w:rPr>
            </w:pPr>
            <w:r>
              <w:rPr>
                <w:rFonts w:hint="eastAsia"/>
                <w:sz w:val="28"/>
                <w:szCs w:val="28"/>
              </w:rPr>
              <w:t>d、负责在事故发生后统一调度相关人员、设备，指挥应急处理工作；</w:t>
            </w:r>
          </w:p>
          <w:p>
            <w:pPr>
              <w:ind w:firstLine="560" w:firstLineChars="200"/>
              <w:rPr>
                <w:rFonts w:hint="eastAsia"/>
                <w:sz w:val="28"/>
                <w:szCs w:val="28"/>
              </w:rPr>
            </w:pPr>
            <w:r>
              <w:rPr>
                <w:rFonts w:hint="eastAsia"/>
                <w:sz w:val="28"/>
                <w:szCs w:val="28"/>
              </w:rPr>
              <w:t>e、负责应急事故处理中贡献突出人员或违纪人员的奖励；</w:t>
            </w:r>
          </w:p>
          <w:p>
            <w:pPr>
              <w:ind w:firstLine="560" w:firstLineChars="200"/>
              <w:rPr>
                <w:rFonts w:hint="eastAsia"/>
                <w:sz w:val="28"/>
                <w:szCs w:val="28"/>
              </w:rPr>
            </w:pPr>
            <w:r>
              <w:rPr>
                <w:rFonts w:hint="eastAsia"/>
                <w:sz w:val="28"/>
                <w:szCs w:val="28"/>
              </w:rPr>
              <w:t>（2）、办公室职责</w:t>
            </w:r>
          </w:p>
          <w:p>
            <w:pPr>
              <w:ind w:firstLine="560" w:firstLineChars="200"/>
              <w:rPr>
                <w:rFonts w:hint="eastAsia"/>
                <w:sz w:val="28"/>
                <w:szCs w:val="28"/>
              </w:rPr>
            </w:pPr>
            <w:r>
              <w:rPr>
                <w:rFonts w:hint="eastAsia"/>
                <w:sz w:val="28"/>
                <w:szCs w:val="28"/>
              </w:rPr>
              <w:t>a、掌握从事危货运输作业的种类、人数、地点；</w:t>
            </w:r>
          </w:p>
          <w:p>
            <w:pPr>
              <w:ind w:firstLine="560" w:firstLineChars="200"/>
              <w:rPr>
                <w:rFonts w:hint="eastAsia"/>
                <w:sz w:val="28"/>
                <w:szCs w:val="28"/>
              </w:rPr>
            </w:pPr>
            <w:r>
              <w:rPr>
                <w:rFonts w:hint="eastAsia"/>
                <w:sz w:val="28"/>
                <w:szCs w:val="28"/>
              </w:rPr>
              <w:t>b、危货运输事故发生后，迅速了解、汇总事故情况和应急工作的现状，及时向指挥部汇报；</w:t>
            </w:r>
          </w:p>
          <w:p>
            <w:pPr>
              <w:ind w:firstLine="560" w:firstLineChars="200"/>
              <w:rPr>
                <w:rFonts w:hint="eastAsia"/>
                <w:sz w:val="28"/>
                <w:szCs w:val="28"/>
              </w:rPr>
            </w:pPr>
            <w:r>
              <w:rPr>
                <w:rFonts w:hint="eastAsia"/>
                <w:sz w:val="28"/>
                <w:szCs w:val="28"/>
              </w:rPr>
              <w:t>c、传达指令，协调应急处理的相关事宜。</w:t>
            </w:r>
          </w:p>
          <w:p>
            <w:pPr>
              <w:ind w:firstLine="560" w:firstLineChars="200"/>
              <w:outlineLvl w:val="0"/>
              <w:rPr>
                <w:sz w:val="28"/>
                <w:szCs w:val="28"/>
              </w:rPr>
            </w:pPr>
            <w:r>
              <w:rPr>
                <w:rFonts w:hint="eastAsia"/>
                <w:sz w:val="28"/>
                <w:szCs w:val="28"/>
              </w:rPr>
              <w:t>六、危险化学品运输车辆配置抢救器材表</w:t>
            </w:r>
          </w:p>
          <w:tbl>
            <w:tblPr>
              <w:tblStyle w:val="6"/>
              <w:tblW w:w="0" w:type="auto"/>
              <w:tblInd w:w="93" w:type="dxa"/>
              <w:tblLayout w:type="fixed"/>
              <w:tblCellMar>
                <w:top w:w="0" w:type="dxa"/>
                <w:left w:w="108" w:type="dxa"/>
                <w:bottom w:w="0" w:type="dxa"/>
                <w:right w:w="108" w:type="dxa"/>
              </w:tblCellMar>
            </w:tblPr>
            <w:tblGrid>
              <w:gridCol w:w="760"/>
              <w:gridCol w:w="2080"/>
              <w:gridCol w:w="1080"/>
              <w:gridCol w:w="780"/>
              <w:gridCol w:w="760"/>
              <w:gridCol w:w="1300"/>
              <w:gridCol w:w="1080"/>
              <w:gridCol w:w="700"/>
            </w:tblGrid>
            <w:tr>
              <w:tblPrEx>
                <w:tblCellMar>
                  <w:top w:w="0" w:type="dxa"/>
                  <w:left w:w="108" w:type="dxa"/>
                  <w:bottom w:w="0" w:type="dxa"/>
                  <w:right w:w="108" w:type="dxa"/>
                </w:tblCellMar>
              </w:tblPrEx>
              <w:trPr>
                <w:trHeight w:val="285" w:hRule="atLeast"/>
              </w:trPr>
              <w:tc>
                <w:tcPr>
                  <w:tcW w:w="7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sz w:val="24"/>
                    </w:rPr>
                  </w:pPr>
                  <w:r>
                    <w:rPr>
                      <w:rFonts w:hint="eastAsia"/>
                      <w:sz w:val="24"/>
                    </w:rPr>
                    <w:t>序  号</w:t>
                  </w:r>
                </w:p>
              </w:tc>
              <w:tc>
                <w:tcPr>
                  <w:tcW w:w="2080" w:type="dxa"/>
                  <w:tcBorders>
                    <w:top w:val="single" w:color="auto" w:sz="4" w:space="0"/>
                    <w:left w:val="nil"/>
                    <w:bottom w:val="single" w:color="auto" w:sz="4" w:space="0"/>
                    <w:right w:val="single" w:color="auto" w:sz="4" w:space="0"/>
                  </w:tcBorders>
                  <w:noWrap w:val="0"/>
                  <w:vAlign w:val="center"/>
                </w:tcPr>
                <w:p>
                  <w:pPr>
                    <w:widowControl/>
                    <w:jc w:val="center"/>
                    <w:rPr>
                      <w:sz w:val="24"/>
                    </w:rPr>
                  </w:pPr>
                  <w:r>
                    <w:rPr>
                      <w:rFonts w:hint="eastAsia"/>
                      <w:sz w:val="24"/>
                    </w:rPr>
                    <w:t>品    名</w:t>
                  </w:r>
                </w:p>
              </w:tc>
              <w:tc>
                <w:tcPr>
                  <w:tcW w:w="1080" w:type="dxa"/>
                  <w:tcBorders>
                    <w:top w:val="single" w:color="auto" w:sz="4" w:space="0"/>
                    <w:left w:val="nil"/>
                    <w:bottom w:val="single" w:color="auto" w:sz="4" w:space="0"/>
                    <w:right w:val="single" w:color="auto" w:sz="4" w:space="0"/>
                  </w:tcBorders>
                  <w:noWrap w:val="0"/>
                  <w:vAlign w:val="center"/>
                </w:tcPr>
                <w:p>
                  <w:pPr>
                    <w:widowControl/>
                    <w:jc w:val="center"/>
                    <w:rPr>
                      <w:sz w:val="24"/>
                    </w:rPr>
                  </w:pPr>
                  <w:r>
                    <w:rPr>
                      <w:rFonts w:hint="eastAsia"/>
                      <w:sz w:val="24"/>
                    </w:rPr>
                    <w:t>存放地</w:t>
                  </w:r>
                </w:p>
              </w:tc>
              <w:tc>
                <w:tcPr>
                  <w:tcW w:w="780" w:type="dxa"/>
                  <w:tcBorders>
                    <w:top w:val="single" w:color="auto" w:sz="4" w:space="0"/>
                    <w:left w:val="nil"/>
                    <w:bottom w:val="single" w:color="auto" w:sz="4" w:space="0"/>
                    <w:right w:val="single" w:color="auto" w:sz="4" w:space="0"/>
                  </w:tcBorders>
                  <w:noWrap w:val="0"/>
                  <w:vAlign w:val="center"/>
                </w:tcPr>
                <w:p>
                  <w:pPr>
                    <w:widowControl/>
                    <w:jc w:val="center"/>
                    <w:rPr>
                      <w:sz w:val="24"/>
                    </w:rPr>
                  </w:pPr>
                  <w:r>
                    <w:rPr>
                      <w:rFonts w:hint="eastAsia"/>
                      <w:sz w:val="24"/>
                    </w:rPr>
                    <w:t>数  量</w:t>
                  </w:r>
                </w:p>
              </w:tc>
              <w:tc>
                <w:tcPr>
                  <w:tcW w:w="760" w:type="dxa"/>
                  <w:tcBorders>
                    <w:top w:val="single" w:color="auto" w:sz="4" w:space="0"/>
                    <w:left w:val="nil"/>
                    <w:bottom w:val="single" w:color="auto" w:sz="4" w:space="0"/>
                    <w:right w:val="single" w:color="auto" w:sz="4" w:space="0"/>
                  </w:tcBorders>
                  <w:noWrap w:val="0"/>
                  <w:vAlign w:val="center"/>
                </w:tcPr>
                <w:p>
                  <w:pPr>
                    <w:widowControl/>
                    <w:jc w:val="center"/>
                    <w:rPr>
                      <w:sz w:val="24"/>
                    </w:rPr>
                  </w:pPr>
                  <w:r>
                    <w:rPr>
                      <w:rFonts w:hint="eastAsia"/>
                      <w:sz w:val="24"/>
                    </w:rPr>
                    <w:t>序  号</w:t>
                  </w:r>
                </w:p>
              </w:tc>
              <w:tc>
                <w:tcPr>
                  <w:tcW w:w="1300" w:type="dxa"/>
                  <w:tcBorders>
                    <w:top w:val="single" w:color="auto" w:sz="4" w:space="0"/>
                    <w:left w:val="nil"/>
                    <w:bottom w:val="single" w:color="auto" w:sz="4" w:space="0"/>
                    <w:right w:val="single" w:color="auto" w:sz="4" w:space="0"/>
                  </w:tcBorders>
                  <w:noWrap w:val="0"/>
                  <w:vAlign w:val="center"/>
                </w:tcPr>
                <w:p>
                  <w:pPr>
                    <w:widowControl/>
                    <w:jc w:val="center"/>
                    <w:rPr>
                      <w:sz w:val="24"/>
                    </w:rPr>
                  </w:pPr>
                  <w:r>
                    <w:rPr>
                      <w:rFonts w:hint="eastAsia"/>
                      <w:sz w:val="24"/>
                    </w:rPr>
                    <w:t>品    名</w:t>
                  </w:r>
                </w:p>
              </w:tc>
              <w:tc>
                <w:tcPr>
                  <w:tcW w:w="1080" w:type="dxa"/>
                  <w:tcBorders>
                    <w:top w:val="single" w:color="auto" w:sz="4" w:space="0"/>
                    <w:left w:val="nil"/>
                    <w:bottom w:val="single" w:color="auto" w:sz="4" w:space="0"/>
                    <w:right w:val="single" w:color="auto" w:sz="4" w:space="0"/>
                  </w:tcBorders>
                  <w:noWrap w:val="0"/>
                  <w:vAlign w:val="center"/>
                </w:tcPr>
                <w:p>
                  <w:pPr>
                    <w:widowControl/>
                    <w:jc w:val="center"/>
                    <w:rPr>
                      <w:sz w:val="24"/>
                    </w:rPr>
                  </w:pPr>
                  <w:r>
                    <w:rPr>
                      <w:rFonts w:hint="eastAsia"/>
                      <w:sz w:val="24"/>
                    </w:rPr>
                    <w:t>存放地</w:t>
                  </w:r>
                </w:p>
              </w:tc>
              <w:tc>
                <w:tcPr>
                  <w:tcW w:w="700" w:type="dxa"/>
                  <w:tcBorders>
                    <w:top w:val="single" w:color="auto" w:sz="4" w:space="0"/>
                    <w:left w:val="nil"/>
                    <w:bottom w:val="single" w:color="auto" w:sz="4" w:space="0"/>
                    <w:right w:val="single" w:color="auto" w:sz="4" w:space="0"/>
                  </w:tcBorders>
                  <w:noWrap w:val="0"/>
                  <w:vAlign w:val="center"/>
                </w:tcPr>
                <w:p>
                  <w:pPr>
                    <w:widowControl/>
                    <w:jc w:val="center"/>
                    <w:rPr>
                      <w:sz w:val="24"/>
                    </w:rPr>
                  </w:pPr>
                  <w:r>
                    <w:rPr>
                      <w:rFonts w:hint="eastAsia"/>
                      <w:sz w:val="24"/>
                    </w:rPr>
                    <w:t>数量</w:t>
                  </w:r>
                </w:p>
              </w:tc>
            </w:tr>
            <w:tr>
              <w:tblPrEx>
                <w:tblCellMar>
                  <w:top w:w="0" w:type="dxa"/>
                  <w:left w:w="108" w:type="dxa"/>
                  <w:bottom w:w="0" w:type="dxa"/>
                  <w:right w:w="108" w:type="dxa"/>
                </w:tblCellMar>
              </w:tblPrEx>
              <w:trPr>
                <w:trHeight w:val="285" w:hRule="atLeast"/>
              </w:trPr>
              <w:tc>
                <w:tcPr>
                  <w:tcW w:w="760" w:type="dxa"/>
                  <w:tcBorders>
                    <w:top w:val="nil"/>
                    <w:left w:val="single" w:color="auto" w:sz="4" w:space="0"/>
                    <w:bottom w:val="single" w:color="auto" w:sz="4" w:space="0"/>
                    <w:right w:val="single" w:color="auto" w:sz="4" w:space="0"/>
                  </w:tcBorders>
                  <w:noWrap w:val="0"/>
                  <w:vAlign w:val="center"/>
                </w:tcPr>
                <w:p>
                  <w:pPr>
                    <w:widowControl/>
                    <w:jc w:val="center"/>
                    <w:rPr>
                      <w:sz w:val="24"/>
                    </w:rPr>
                  </w:pPr>
                  <w:r>
                    <w:rPr>
                      <w:rFonts w:hint="eastAsia"/>
                      <w:sz w:val="24"/>
                    </w:rPr>
                    <w:t>1</w:t>
                  </w:r>
                </w:p>
              </w:tc>
              <w:tc>
                <w:tcPr>
                  <w:tcW w:w="208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防爆手电筒</w:t>
                  </w:r>
                </w:p>
              </w:tc>
              <w:tc>
                <w:tcPr>
                  <w:tcW w:w="108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车载</w:t>
                  </w:r>
                </w:p>
              </w:tc>
              <w:tc>
                <w:tcPr>
                  <w:tcW w:w="78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1</w:t>
                  </w:r>
                </w:p>
              </w:tc>
              <w:tc>
                <w:tcPr>
                  <w:tcW w:w="76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6</w:t>
                  </w:r>
                </w:p>
              </w:tc>
              <w:tc>
                <w:tcPr>
                  <w:tcW w:w="130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撬    棍</w:t>
                  </w:r>
                </w:p>
              </w:tc>
              <w:tc>
                <w:tcPr>
                  <w:tcW w:w="108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车载</w:t>
                  </w:r>
                </w:p>
              </w:tc>
              <w:tc>
                <w:tcPr>
                  <w:tcW w:w="70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1</w:t>
                  </w:r>
                </w:p>
              </w:tc>
            </w:tr>
            <w:tr>
              <w:tblPrEx>
                <w:tblCellMar>
                  <w:top w:w="0" w:type="dxa"/>
                  <w:left w:w="108" w:type="dxa"/>
                  <w:bottom w:w="0" w:type="dxa"/>
                  <w:right w:w="108" w:type="dxa"/>
                </w:tblCellMar>
              </w:tblPrEx>
              <w:trPr>
                <w:trHeight w:val="285" w:hRule="atLeast"/>
              </w:trPr>
              <w:tc>
                <w:tcPr>
                  <w:tcW w:w="760" w:type="dxa"/>
                  <w:tcBorders>
                    <w:top w:val="nil"/>
                    <w:left w:val="single" w:color="auto" w:sz="4" w:space="0"/>
                    <w:bottom w:val="single" w:color="auto" w:sz="4" w:space="0"/>
                    <w:right w:val="single" w:color="auto" w:sz="4" w:space="0"/>
                  </w:tcBorders>
                  <w:noWrap w:val="0"/>
                  <w:vAlign w:val="center"/>
                </w:tcPr>
                <w:p>
                  <w:pPr>
                    <w:widowControl/>
                    <w:jc w:val="center"/>
                    <w:rPr>
                      <w:sz w:val="24"/>
                    </w:rPr>
                  </w:pPr>
                  <w:r>
                    <w:rPr>
                      <w:rFonts w:hint="eastAsia"/>
                      <w:sz w:val="24"/>
                    </w:rPr>
                    <w:t>2</w:t>
                  </w:r>
                </w:p>
              </w:tc>
              <w:tc>
                <w:tcPr>
                  <w:tcW w:w="208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千  斤  顶</w:t>
                  </w:r>
                </w:p>
              </w:tc>
              <w:tc>
                <w:tcPr>
                  <w:tcW w:w="108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车载</w:t>
                  </w:r>
                </w:p>
              </w:tc>
              <w:tc>
                <w:tcPr>
                  <w:tcW w:w="78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1</w:t>
                  </w:r>
                </w:p>
              </w:tc>
              <w:tc>
                <w:tcPr>
                  <w:tcW w:w="76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7</w:t>
                  </w:r>
                </w:p>
              </w:tc>
              <w:tc>
                <w:tcPr>
                  <w:tcW w:w="130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铁    桶</w:t>
                  </w:r>
                </w:p>
              </w:tc>
              <w:tc>
                <w:tcPr>
                  <w:tcW w:w="108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车载</w:t>
                  </w:r>
                </w:p>
              </w:tc>
              <w:tc>
                <w:tcPr>
                  <w:tcW w:w="70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1</w:t>
                  </w:r>
                </w:p>
              </w:tc>
            </w:tr>
            <w:tr>
              <w:tblPrEx>
                <w:tblCellMar>
                  <w:top w:w="0" w:type="dxa"/>
                  <w:left w:w="108" w:type="dxa"/>
                  <w:bottom w:w="0" w:type="dxa"/>
                  <w:right w:w="108" w:type="dxa"/>
                </w:tblCellMar>
              </w:tblPrEx>
              <w:trPr>
                <w:trHeight w:val="285" w:hRule="atLeast"/>
              </w:trPr>
              <w:tc>
                <w:tcPr>
                  <w:tcW w:w="760" w:type="dxa"/>
                  <w:tcBorders>
                    <w:top w:val="nil"/>
                    <w:left w:val="single" w:color="auto" w:sz="4" w:space="0"/>
                    <w:bottom w:val="single" w:color="auto" w:sz="4" w:space="0"/>
                    <w:right w:val="single" w:color="auto" w:sz="4" w:space="0"/>
                  </w:tcBorders>
                  <w:noWrap w:val="0"/>
                  <w:vAlign w:val="center"/>
                </w:tcPr>
                <w:p>
                  <w:pPr>
                    <w:widowControl/>
                    <w:jc w:val="center"/>
                    <w:rPr>
                      <w:sz w:val="24"/>
                    </w:rPr>
                  </w:pPr>
                  <w:r>
                    <w:rPr>
                      <w:rFonts w:hint="eastAsia"/>
                      <w:sz w:val="24"/>
                    </w:rPr>
                    <w:t>3</w:t>
                  </w:r>
                </w:p>
              </w:tc>
              <w:tc>
                <w:tcPr>
                  <w:tcW w:w="208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钢 丝 缆绳</w:t>
                  </w:r>
                </w:p>
              </w:tc>
              <w:tc>
                <w:tcPr>
                  <w:tcW w:w="108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车载</w:t>
                  </w:r>
                </w:p>
              </w:tc>
              <w:tc>
                <w:tcPr>
                  <w:tcW w:w="78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1</w:t>
                  </w:r>
                </w:p>
              </w:tc>
              <w:tc>
                <w:tcPr>
                  <w:tcW w:w="76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8</w:t>
                  </w:r>
                </w:p>
              </w:tc>
              <w:tc>
                <w:tcPr>
                  <w:tcW w:w="130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灭 火 器</w:t>
                  </w:r>
                </w:p>
              </w:tc>
              <w:tc>
                <w:tcPr>
                  <w:tcW w:w="108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车载</w:t>
                  </w:r>
                </w:p>
              </w:tc>
              <w:tc>
                <w:tcPr>
                  <w:tcW w:w="70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1</w:t>
                  </w:r>
                </w:p>
              </w:tc>
            </w:tr>
            <w:tr>
              <w:tblPrEx>
                <w:tblCellMar>
                  <w:top w:w="0" w:type="dxa"/>
                  <w:left w:w="108" w:type="dxa"/>
                  <w:bottom w:w="0" w:type="dxa"/>
                  <w:right w:w="108" w:type="dxa"/>
                </w:tblCellMar>
              </w:tblPrEx>
              <w:trPr>
                <w:trHeight w:val="285" w:hRule="atLeast"/>
              </w:trPr>
              <w:tc>
                <w:tcPr>
                  <w:tcW w:w="760" w:type="dxa"/>
                  <w:tcBorders>
                    <w:top w:val="nil"/>
                    <w:left w:val="single" w:color="auto" w:sz="4" w:space="0"/>
                    <w:bottom w:val="single" w:color="auto" w:sz="4" w:space="0"/>
                    <w:right w:val="single" w:color="auto" w:sz="4" w:space="0"/>
                  </w:tcBorders>
                  <w:noWrap w:val="0"/>
                  <w:vAlign w:val="center"/>
                </w:tcPr>
                <w:p>
                  <w:pPr>
                    <w:widowControl/>
                    <w:jc w:val="center"/>
                    <w:rPr>
                      <w:sz w:val="24"/>
                    </w:rPr>
                  </w:pPr>
                  <w:r>
                    <w:rPr>
                      <w:rFonts w:hint="eastAsia"/>
                      <w:sz w:val="24"/>
                    </w:rPr>
                    <w:t>4</w:t>
                  </w:r>
                </w:p>
              </w:tc>
              <w:tc>
                <w:tcPr>
                  <w:tcW w:w="208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警 告 标志</w:t>
                  </w:r>
                </w:p>
              </w:tc>
              <w:tc>
                <w:tcPr>
                  <w:tcW w:w="108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车载</w:t>
                  </w:r>
                </w:p>
              </w:tc>
              <w:tc>
                <w:tcPr>
                  <w:tcW w:w="78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1</w:t>
                  </w:r>
                </w:p>
              </w:tc>
              <w:tc>
                <w:tcPr>
                  <w:tcW w:w="76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9</w:t>
                  </w:r>
                </w:p>
              </w:tc>
              <w:tc>
                <w:tcPr>
                  <w:tcW w:w="130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三 角 木</w:t>
                  </w:r>
                </w:p>
              </w:tc>
              <w:tc>
                <w:tcPr>
                  <w:tcW w:w="108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车载</w:t>
                  </w:r>
                </w:p>
              </w:tc>
              <w:tc>
                <w:tcPr>
                  <w:tcW w:w="70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若干</w:t>
                  </w:r>
                </w:p>
              </w:tc>
            </w:tr>
            <w:tr>
              <w:tblPrEx>
                <w:tblCellMar>
                  <w:top w:w="0" w:type="dxa"/>
                  <w:left w:w="108" w:type="dxa"/>
                  <w:bottom w:w="0" w:type="dxa"/>
                  <w:right w:w="108" w:type="dxa"/>
                </w:tblCellMar>
              </w:tblPrEx>
              <w:trPr>
                <w:trHeight w:val="285" w:hRule="atLeast"/>
              </w:trPr>
              <w:tc>
                <w:tcPr>
                  <w:tcW w:w="760" w:type="dxa"/>
                  <w:tcBorders>
                    <w:top w:val="nil"/>
                    <w:left w:val="single" w:color="auto" w:sz="4" w:space="0"/>
                    <w:bottom w:val="single" w:color="auto" w:sz="4" w:space="0"/>
                    <w:right w:val="single" w:color="auto" w:sz="4" w:space="0"/>
                  </w:tcBorders>
                  <w:noWrap w:val="0"/>
                  <w:vAlign w:val="center"/>
                </w:tcPr>
                <w:p>
                  <w:pPr>
                    <w:widowControl/>
                    <w:jc w:val="center"/>
                    <w:rPr>
                      <w:sz w:val="24"/>
                    </w:rPr>
                  </w:pPr>
                  <w:r>
                    <w:rPr>
                      <w:rFonts w:hint="eastAsia"/>
                      <w:sz w:val="24"/>
                    </w:rPr>
                    <w:t>5</w:t>
                  </w:r>
                </w:p>
              </w:tc>
              <w:tc>
                <w:tcPr>
                  <w:tcW w:w="208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工      具</w:t>
                  </w:r>
                </w:p>
              </w:tc>
              <w:tc>
                <w:tcPr>
                  <w:tcW w:w="108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车载</w:t>
                  </w:r>
                </w:p>
              </w:tc>
              <w:tc>
                <w:tcPr>
                  <w:tcW w:w="78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若干</w:t>
                  </w:r>
                </w:p>
              </w:tc>
              <w:tc>
                <w:tcPr>
                  <w:tcW w:w="76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　</w:t>
                  </w:r>
                </w:p>
              </w:tc>
              <w:tc>
                <w:tcPr>
                  <w:tcW w:w="130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　</w:t>
                  </w:r>
                </w:p>
              </w:tc>
              <w:tc>
                <w:tcPr>
                  <w:tcW w:w="108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　</w:t>
                  </w:r>
                </w:p>
              </w:tc>
              <w:tc>
                <w:tcPr>
                  <w:tcW w:w="700" w:type="dxa"/>
                  <w:tcBorders>
                    <w:top w:val="nil"/>
                    <w:left w:val="nil"/>
                    <w:bottom w:val="single" w:color="auto" w:sz="4" w:space="0"/>
                    <w:right w:val="single" w:color="auto" w:sz="4" w:space="0"/>
                  </w:tcBorders>
                  <w:noWrap w:val="0"/>
                  <w:vAlign w:val="center"/>
                </w:tcPr>
                <w:p>
                  <w:pPr>
                    <w:widowControl/>
                    <w:jc w:val="center"/>
                    <w:rPr>
                      <w:sz w:val="24"/>
                    </w:rPr>
                  </w:pPr>
                  <w:r>
                    <w:rPr>
                      <w:rFonts w:hint="eastAsia"/>
                      <w:sz w:val="24"/>
                    </w:rPr>
                    <w:t>　</w:t>
                  </w:r>
                </w:p>
              </w:tc>
            </w:tr>
          </w:tbl>
          <w:p>
            <w:pPr>
              <w:ind w:firstLine="560" w:firstLineChars="200"/>
              <w:rPr>
                <w:sz w:val="28"/>
                <w:szCs w:val="28"/>
              </w:rPr>
            </w:pPr>
            <w:r>
              <w:rPr>
                <w:rFonts w:hint="eastAsia"/>
                <w:sz w:val="28"/>
                <w:szCs w:val="28"/>
              </w:rPr>
              <w:t>七、预案的启动</w:t>
            </w:r>
          </w:p>
          <w:p>
            <w:pPr>
              <w:ind w:firstLine="560" w:firstLineChars="200"/>
              <w:rPr>
                <w:rFonts w:hint="eastAsia"/>
                <w:sz w:val="28"/>
                <w:szCs w:val="28"/>
              </w:rPr>
            </w:pPr>
            <w:r>
              <w:rPr>
                <w:rFonts w:hint="eastAsia"/>
                <w:sz w:val="28"/>
                <w:szCs w:val="28"/>
              </w:rPr>
              <w:t>发生事故时驾驶员在第一时间准确的向当地消防、运管、安监及公司领导汇报事故发生的地点、时间、人员伤亡等情况，公司“危险化学品运输过程事故应急救援运营方（预）案”总指挥通知所有应急小组起动预案。</w:t>
            </w:r>
          </w:p>
          <w:p>
            <w:pPr>
              <w:ind w:firstLine="560" w:firstLineChars="200"/>
              <w:outlineLvl w:val="0"/>
              <w:rPr>
                <w:sz w:val="28"/>
                <w:szCs w:val="28"/>
              </w:rPr>
            </w:pPr>
            <w:r>
              <w:rPr>
                <w:rFonts w:hint="eastAsia"/>
                <w:sz w:val="28"/>
                <w:szCs w:val="28"/>
              </w:rPr>
              <w:t>1、事故发生后驾、押运员应采取的紧急处理措施</w:t>
            </w:r>
          </w:p>
          <w:p>
            <w:pPr>
              <w:ind w:firstLine="560" w:firstLineChars="200"/>
              <w:rPr>
                <w:sz w:val="28"/>
                <w:szCs w:val="28"/>
              </w:rPr>
            </w:pPr>
            <w:r>
              <w:rPr>
                <w:rFonts w:hint="eastAsia"/>
                <w:sz w:val="28"/>
                <w:szCs w:val="28"/>
              </w:rPr>
              <w:t>（1）、驾驶员立即拉紧手制动器，固定车轮，熄灭发动机关报警。押运员根据所载货物的性质，釆取相应的急救措施，防止事故扩大。</w:t>
            </w:r>
          </w:p>
          <w:p>
            <w:pPr>
              <w:ind w:firstLine="560" w:firstLineChars="200"/>
              <w:rPr>
                <w:rFonts w:hint="eastAsia"/>
                <w:sz w:val="28"/>
                <w:szCs w:val="28"/>
              </w:rPr>
            </w:pPr>
            <w:r>
              <w:rPr>
                <w:rFonts w:hint="eastAsia"/>
                <w:sz w:val="28"/>
                <w:szCs w:val="28"/>
              </w:rPr>
              <w:t xml:space="preserve">（2）、指挥周围车辆及无关人员迅速离幵，现場隔离50米范围禁止明火，防止事态扩大； </w:t>
            </w:r>
          </w:p>
          <w:p>
            <w:pPr>
              <w:ind w:firstLine="560" w:firstLineChars="200"/>
              <w:rPr>
                <w:rFonts w:hint="eastAsia"/>
                <w:sz w:val="28"/>
                <w:szCs w:val="28"/>
              </w:rPr>
            </w:pPr>
            <w:r>
              <w:rPr>
                <w:rFonts w:hint="eastAsia"/>
                <w:sz w:val="28"/>
                <w:szCs w:val="28"/>
              </w:rPr>
              <w:t>（3）、疏散事故现场周围易燃易爆物品、防止二次事故发生；</w:t>
            </w:r>
          </w:p>
          <w:p>
            <w:pPr>
              <w:ind w:firstLine="560" w:firstLineChars="200"/>
              <w:rPr>
                <w:sz w:val="28"/>
                <w:szCs w:val="28"/>
              </w:rPr>
            </w:pPr>
            <w:r>
              <w:rPr>
                <w:rFonts w:hint="eastAsia"/>
                <w:sz w:val="28"/>
                <w:szCs w:val="28"/>
              </w:rPr>
              <w:t>（4）、立即到路口设置警戒标志，并迎接救援车的到来。</w:t>
            </w:r>
          </w:p>
          <w:p>
            <w:pPr>
              <w:ind w:firstLine="560" w:firstLineChars="200"/>
              <w:outlineLvl w:val="0"/>
              <w:rPr>
                <w:sz w:val="28"/>
                <w:szCs w:val="28"/>
              </w:rPr>
            </w:pPr>
            <w:r>
              <w:rPr>
                <w:rFonts w:hint="eastAsia"/>
                <w:sz w:val="28"/>
                <w:szCs w:val="28"/>
              </w:rPr>
              <w:t>2、人员紧急疏散、撤离</w:t>
            </w:r>
          </w:p>
          <w:p>
            <w:pPr>
              <w:ind w:firstLine="560" w:firstLineChars="200"/>
              <w:rPr>
                <w:sz w:val="28"/>
                <w:szCs w:val="28"/>
              </w:rPr>
            </w:pPr>
            <w:r>
              <w:rPr>
                <w:rFonts w:hint="eastAsia"/>
                <w:sz w:val="28"/>
                <w:szCs w:val="28"/>
              </w:rPr>
              <w:t>驾驶员和押运员在紧急救援时，要按危险品性质和事故严重程度进行分析，决定是否对周边人员紧急撤离以及撤离方式；在当地救援部门到来后,人员的疏散与撤离决定权移交给政府部门履行。</w:t>
            </w:r>
          </w:p>
          <w:p>
            <w:pPr>
              <w:ind w:firstLine="560" w:firstLineChars="200"/>
              <w:outlineLvl w:val="0"/>
              <w:rPr>
                <w:sz w:val="28"/>
                <w:szCs w:val="28"/>
              </w:rPr>
            </w:pPr>
            <w:r>
              <w:rPr>
                <w:rFonts w:hint="eastAsia"/>
                <w:sz w:val="28"/>
                <w:szCs w:val="28"/>
              </w:rPr>
              <w:t>3、危险区的隔离</w:t>
            </w:r>
          </w:p>
          <w:p>
            <w:pPr>
              <w:ind w:firstLine="560" w:firstLineChars="200"/>
              <w:rPr>
                <w:rFonts w:hint="eastAsia"/>
                <w:sz w:val="28"/>
                <w:szCs w:val="28"/>
              </w:rPr>
            </w:pPr>
            <w:r>
              <w:rPr>
                <w:rFonts w:hint="eastAsia"/>
                <w:sz w:val="28"/>
                <w:szCs w:val="28"/>
              </w:rPr>
              <w:t>事故发生后，驾押人员应对事故现场周围实行警戒，对无关人员及车辆进行紧急疏散，驾驶员要在危险区域放置“前方危险，车辆绕行”警示牌，协助相关部门做好交通管制工作。</w:t>
            </w:r>
          </w:p>
          <w:p>
            <w:pPr>
              <w:ind w:firstLine="560" w:firstLineChars="200"/>
              <w:outlineLvl w:val="0"/>
              <w:rPr>
                <w:rFonts w:hint="eastAsia"/>
                <w:sz w:val="28"/>
                <w:szCs w:val="28"/>
              </w:rPr>
            </w:pPr>
            <w:r>
              <w:rPr>
                <w:rFonts w:hint="eastAsia"/>
                <w:sz w:val="28"/>
                <w:szCs w:val="28"/>
              </w:rPr>
              <w:t>4、检测、抢救、救援及控制措施</w:t>
            </w:r>
          </w:p>
          <w:p>
            <w:pPr>
              <w:ind w:firstLine="560" w:firstLineChars="200"/>
              <w:rPr>
                <w:rFonts w:hint="eastAsia"/>
                <w:sz w:val="28"/>
                <w:szCs w:val="28"/>
              </w:rPr>
            </w:pPr>
            <w:r>
              <w:rPr>
                <w:rFonts w:hint="eastAsia"/>
                <w:sz w:val="28"/>
                <w:szCs w:val="28"/>
              </w:rPr>
              <w:t>（1）、 驾、押人员应落实危化品污染事故监测工作。</w:t>
            </w:r>
          </w:p>
          <w:p>
            <w:pPr>
              <w:ind w:firstLine="560" w:firstLineChars="200"/>
              <w:rPr>
                <w:rFonts w:hint="eastAsia"/>
                <w:sz w:val="28"/>
                <w:szCs w:val="28"/>
              </w:rPr>
            </w:pPr>
            <w:r>
              <w:rPr>
                <w:rFonts w:hint="eastAsia"/>
                <w:sz w:val="28"/>
                <w:szCs w:val="28"/>
              </w:rPr>
              <w:t>（2）、抢险、救援方式、方法及人员的防护、监护措施。</w:t>
            </w:r>
          </w:p>
          <w:p>
            <w:pPr>
              <w:ind w:firstLine="560" w:firstLineChars="200"/>
              <w:rPr>
                <w:rFonts w:hint="eastAsia"/>
                <w:sz w:val="28"/>
                <w:szCs w:val="28"/>
              </w:rPr>
            </w:pPr>
            <w:r>
              <w:rPr>
                <w:rFonts w:hint="eastAsia"/>
                <w:sz w:val="28"/>
                <w:szCs w:val="28"/>
              </w:rPr>
              <w:t>a、运输易燃、易爆气瓶发生事故的处理方式。</w:t>
            </w:r>
          </w:p>
          <w:p>
            <w:pPr>
              <w:ind w:firstLine="560" w:firstLineChars="200"/>
              <w:rPr>
                <w:rFonts w:hint="eastAsia"/>
                <w:sz w:val="28"/>
                <w:szCs w:val="28"/>
              </w:rPr>
            </w:pPr>
            <w:r>
              <w:rPr>
                <w:rFonts w:hint="eastAsia"/>
                <w:sz w:val="28"/>
                <w:szCs w:val="28"/>
              </w:rPr>
              <w:t>关闭钢瓶阀门，如果无法拧紧阀门，迅速将车辆开至空旷无人区域任其泄露尽。车辆无法开动时应向气瓶大时浇水，使其冷却并移出危险区域。安全转移气瓶，逐个卸车，严禁踢、倾、摔、碰、溜放卸车，注意防止气瓶安全帽脱落，气瓶竖放时必须稳妥。</w:t>
            </w:r>
          </w:p>
          <w:p>
            <w:pPr>
              <w:ind w:firstLine="560" w:firstLineChars="200"/>
              <w:rPr>
                <w:rFonts w:hint="eastAsia"/>
                <w:sz w:val="28"/>
                <w:szCs w:val="28"/>
              </w:rPr>
            </w:pPr>
            <w:r>
              <w:rPr>
                <w:rFonts w:hint="eastAsia"/>
                <w:sz w:val="28"/>
                <w:szCs w:val="28"/>
              </w:rPr>
              <w:t>b、运输易燃液体发生事故的处理方式</w:t>
            </w:r>
          </w:p>
          <w:p>
            <w:pPr>
              <w:ind w:firstLine="560" w:firstLineChars="200"/>
              <w:rPr>
                <w:rFonts w:hint="eastAsia"/>
                <w:sz w:val="28"/>
                <w:szCs w:val="28"/>
              </w:rPr>
            </w:pPr>
            <w:r>
              <w:rPr>
                <w:rFonts w:hint="eastAsia"/>
                <w:sz w:val="28"/>
                <w:szCs w:val="28"/>
              </w:rPr>
              <w:t>轻装容器，有渗漏现象时，应及时将渗透部位朝上，并移至安全通风处，进行粘补和更换包装，已经泄露的物品用纱布覆盖后扫净，发现中毒，应立即将中毒人员移至空气流通处。</w:t>
            </w:r>
          </w:p>
          <w:p>
            <w:pPr>
              <w:ind w:firstLine="560" w:firstLineChars="200"/>
              <w:rPr>
                <w:rFonts w:hint="eastAsia"/>
                <w:sz w:val="28"/>
                <w:szCs w:val="28"/>
              </w:rPr>
            </w:pPr>
            <w:r>
              <w:rPr>
                <w:rFonts w:hint="eastAsia"/>
                <w:sz w:val="28"/>
                <w:szCs w:val="28"/>
              </w:rPr>
              <w:t>c、运输易燃液体、自燃物品、遇温易燃物品发生事故的处理方式妥善收集、更换或处理包装。</w:t>
            </w:r>
          </w:p>
          <w:p>
            <w:pPr>
              <w:ind w:firstLine="560" w:firstLineChars="200"/>
              <w:rPr>
                <w:rFonts w:hint="eastAsia"/>
                <w:sz w:val="28"/>
                <w:szCs w:val="28"/>
              </w:rPr>
            </w:pPr>
            <w:r>
              <w:rPr>
                <w:rFonts w:hint="eastAsia"/>
                <w:sz w:val="28"/>
                <w:szCs w:val="28"/>
              </w:rPr>
              <w:t>d、运输腐蚀品发生事故的处理方式</w:t>
            </w:r>
          </w:p>
          <w:p>
            <w:pPr>
              <w:ind w:firstLine="560" w:firstLineChars="200"/>
              <w:rPr>
                <w:rFonts w:hint="eastAsia"/>
                <w:sz w:val="28"/>
                <w:szCs w:val="28"/>
              </w:rPr>
            </w:pPr>
            <w:r>
              <w:rPr>
                <w:rFonts w:hint="eastAsia"/>
                <w:sz w:val="28"/>
                <w:szCs w:val="28"/>
              </w:rPr>
              <w:t>腐蚀品货物发生泄露时用砂土覆盖吸收，对遇水发生剧烈反应的，不得用水直接喷射扑救，以防腐蚀物品飞溅。扑救人员必须穿戴防护用品，对散发腐蚀性蒸汽的危化品，必须使用防毒面具。扑救人员应站在上风处。人体被腐蚀品灼伤处，应立即用大量水冲洗，必要时送医院就诊。</w:t>
            </w:r>
          </w:p>
          <w:p>
            <w:pPr>
              <w:rPr>
                <w:rFonts w:hint="eastAsia"/>
                <w:sz w:val="28"/>
                <w:szCs w:val="28"/>
              </w:rPr>
            </w:pPr>
            <w:r>
              <w:rPr>
                <w:rFonts w:hint="eastAsia"/>
                <w:sz w:val="28"/>
                <w:szCs w:val="28"/>
              </w:rPr>
              <w:t>事故预案</w:t>
            </w:r>
          </w:p>
          <w:p>
            <w:pPr>
              <w:ind w:firstLine="560" w:firstLineChars="200"/>
              <w:outlineLvl w:val="0"/>
              <w:rPr>
                <w:rFonts w:hint="eastAsia"/>
                <w:sz w:val="28"/>
                <w:szCs w:val="28"/>
              </w:rPr>
            </w:pPr>
            <w:r>
              <w:rPr>
                <w:rFonts w:hint="eastAsia"/>
                <w:sz w:val="28"/>
                <w:szCs w:val="28"/>
              </w:rPr>
              <w:t>（3）、 翻车的应对措施</w:t>
            </w:r>
          </w:p>
          <w:p>
            <w:pPr>
              <w:ind w:firstLine="560" w:firstLineChars="200"/>
              <w:rPr>
                <w:rFonts w:hint="eastAsia"/>
                <w:sz w:val="28"/>
                <w:szCs w:val="28"/>
              </w:rPr>
            </w:pPr>
            <w:r>
              <w:rPr>
                <w:rFonts w:hint="eastAsia"/>
                <w:sz w:val="28"/>
                <w:szCs w:val="28"/>
              </w:rPr>
              <w:t>a、发生 翻车事故，驾驶员、押运员应立即自救，离开驾驶室。</w:t>
            </w:r>
          </w:p>
          <w:p>
            <w:pPr>
              <w:ind w:firstLine="560" w:firstLineChars="200"/>
              <w:rPr>
                <w:rFonts w:hint="eastAsia"/>
                <w:sz w:val="28"/>
                <w:szCs w:val="28"/>
              </w:rPr>
            </w:pPr>
            <w:r>
              <w:rPr>
                <w:rFonts w:hint="eastAsia"/>
                <w:sz w:val="28"/>
                <w:szCs w:val="28"/>
              </w:rPr>
              <w:t>b、根据车辆翻车点的地形和车辆重心，就地取材稳定车辆重心，防止车辆继续滚滑，扩大险情。</w:t>
            </w:r>
          </w:p>
          <w:p>
            <w:pPr>
              <w:ind w:firstLine="560" w:firstLineChars="200"/>
              <w:rPr>
                <w:rFonts w:hint="eastAsia"/>
                <w:sz w:val="28"/>
                <w:szCs w:val="28"/>
              </w:rPr>
            </w:pPr>
            <w:r>
              <w:rPr>
                <w:rFonts w:hint="eastAsia"/>
                <w:sz w:val="28"/>
                <w:szCs w:val="28"/>
              </w:rPr>
              <w:t>c、发生泄漏立即向消防119、救护120、交通事故122、治安110报警求援，向公司领导报告。在消防人员未到达前，做好保护现场看护工作，警告闲杂人员离开，现场隔离50米范围禁止明火；</w:t>
            </w:r>
          </w:p>
          <w:p>
            <w:pPr>
              <w:ind w:firstLine="560" w:firstLineChars="200"/>
              <w:rPr>
                <w:rFonts w:hint="eastAsia"/>
                <w:sz w:val="28"/>
                <w:szCs w:val="28"/>
              </w:rPr>
            </w:pPr>
            <w:r>
              <w:rPr>
                <w:rFonts w:hint="eastAsia"/>
                <w:sz w:val="28"/>
                <w:szCs w:val="28"/>
              </w:rPr>
              <w:t>d、公安、消防人员到达现场后，听从指挥，协调调查处理，若有伤员立即设法抢救。</w:t>
            </w:r>
          </w:p>
          <w:p>
            <w:pPr>
              <w:ind w:firstLine="560" w:firstLineChars="200"/>
              <w:outlineLvl w:val="0"/>
              <w:rPr>
                <w:rFonts w:hint="eastAsia"/>
                <w:sz w:val="28"/>
                <w:szCs w:val="28"/>
              </w:rPr>
            </w:pPr>
            <w:r>
              <w:rPr>
                <w:rFonts w:hint="eastAsia"/>
                <w:sz w:val="28"/>
                <w:szCs w:val="28"/>
              </w:rPr>
              <w:t>(4)、泄漏的应对措施</w:t>
            </w:r>
          </w:p>
          <w:p>
            <w:pPr>
              <w:ind w:firstLine="560" w:firstLineChars="200"/>
              <w:rPr>
                <w:rFonts w:hint="eastAsia"/>
                <w:sz w:val="28"/>
                <w:szCs w:val="28"/>
              </w:rPr>
            </w:pPr>
            <w:r>
              <w:rPr>
                <w:rFonts w:hint="eastAsia"/>
                <w:sz w:val="28"/>
                <w:szCs w:val="28"/>
              </w:rPr>
              <w:t>a、尽快驶离（拖主）人群密集地，到空旷区域。将发生动机熄火，并切断车辆电源总电源。尽快堵塞、倒桶或卸料作业，并向公司领导报告泄漏原因、泄漏数量。</w:t>
            </w:r>
          </w:p>
          <w:p>
            <w:pPr>
              <w:ind w:firstLine="560" w:firstLineChars="200"/>
              <w:rPr>
                <w:rFonts w:hint="eastAsia"/>
                <w:sz w:val="28"/>
                <w:szCs w:val="28"/>
              </w:rPr>
            </w:pPr>
            <w:r>
              <w:rPr>
                <w:rFonts w:hint="eastAsia"/>
                <w:sz w:val="28"/>
                <w:szCs w:val="28"/>
              </w:rPr>
              <w:t>b、泄漏量较大时，立即向消防119、救护120、交通事故122、治安110报警求援；现场隔离，要在泄漏点50米范围内设置禁火区域，禁止车辆驶入，明火进入或其它可能产生火花的作业；119、110、122到现场后，服从指挥，配合抢险；</w:t>
            </w:r>
          </w:p>
          <w:p>
            <w:pPr>
              <w:ind w:firstLine="560" w:firstLineChars="200"/>
              <w:rPr>
                <w:rFonts w:hint="eastAsia"/>
                <w:sz w:val="28"/>
                <w:szCs w:val="28"/>
              </w:rPr>
            </w:pPr>
            <w:r>
              <w:rPr>
                <w:rFonts w:hint="eastAsia"/>
                <w:sz w:val="28"/>
                <w:szCs w:val="28"/>
              </w:rPr>
              <w:t>c、因交通事故造成的泄漏，待交警到场后，要主动接受事故据调查。</w:t>
            </w:r>
          </w:p>
          <w:p>
            <w:pPr>
              <w:ind w:firstLine="560" w:firstLineChars="200"/>
              <w:outlineLvl w:val="0"/>
              <w:rPr>
                <w:rFonts w:hint="eastAsia"/>
                <w:sz w:val="28"/>
                <w:szCs w:val="28"/>
              </w:rPr>
            </w:pPr>
            <w:r>
              <w:rPr>
                <w:rFonts w:hint="eastAsia"/>
                <w:sz w:val="28"/>
                <w:szCs w:val="28"/>
              </w:rPr>
              <w:t>(5)、火灾、爆炸事故的应对措施</w:t>
            </w:r>
          </w:p>
          <w:p>
            <w:pPr>
              <w:ind w:firstLine="560" w:firstLineChars="200"/>
              <w:rPr>
                <w:rFonts w:hint="eastAsia"/>
                <w:sz w:val="28"/>
                <w:szCs w:val="28"/>
              </w:rPr>
            </w:pPr>
            <w:r>
              <w:rPr>
                <w:rFonts w:hint="eastAsia"/>
                <w:sz w:val="28"/>
                <w:szCs w:val="28"/>
              </w:rPr>
              <w:t>a、当火势可以控制的情况下，应迅速将车辆驶离（拖离）至空旷区域，以中断灾情的进一步扩大；</w:t>
            </w:r>
          </w:p>
          <w:p>
            <w:pPr>
              <w:ind w:firstLine="560" w:firstLineChars="200"/>
              <w:rPr>
                <w:rFonts w:hint="eastAsia"/>
                <w:sz w:val="28"/>
                <w:szCs w:val="28"/>
              </w:rPr>
            </w:pPr>
            <w:r>
              <w:rPr>
                <w:rFonts w:hint="eastAsia"/>
                <w:sz w:val="28"/>
                <w:szCs w:val="28"/>
              </w:rPr>
              <w:t>b、火灾初始，押运员和驾驭员立即用随身携带的灭火器对准火焰根部灭火，或用其他方法中断燃烧。当火势猛烈灭火无效时，应立即撤离人员中断交通，并立即向消防119、交通122、治安110报警，同时向公司领导泄报；</w:t>
            </w:r>
          </w:p>
          <w:p>
            <w:pPr>
              <w:ind w:firstLine="560" w:firstLineChars="200"/>
              <w:rPr>
                <w:rFonts w:hint="eastAsia"/>
                <w:sz w:val="28"/>
                <w:szCs w:val="28"/>
              </w:rPr>
            </w:pPr>
            <w:r>
              <w:rPr>
                <w:rFonts w:hint="eastAsia"/>
                <w:sz w:val="28"/>
                <w:szCs w:val="28"/>
              </w:rPr>
              <w:t>c、发生爆炸和爆炸后燃烧，所有人员应立即撤离，如有人员伤亡应通知120急救中心；</w:t>
            </w:r>
          </w:p>
          <w:p>
            <w:pPr>
              <w:ind w:firstLine="560" w:firstLineChars="200"/>
              <w:rPr>
                <w:rFonts w:hint="eastAsia"/>
                <w:sz w:val="28"/>
                <w:szCs w:val="28"/>
              </w:rPr>
            </w:pPr>
            <w:r>
              <w:rPr>
                <w:rFonts w:hint="eastAsia"/>
                <w:sz w:val="28"/>
                <w:szCs w:val="28"/>
              </w:rPr>
              <w:t xml:space="preserve">d、事故救援人员到场后，做好配合并协助进行事故调查。  </w:t>
            </w:r>
          </w:p>
          <w:p>
            <w:pPr>
              <w:ind w:firstLine="560" w:firstLineChars="200"/>
              <w:outlineLvl w:val="0"/>
              <w:rPr>
                <w:rFonts w:hint="eastAsia"/>
                <w:sz w:val="28"/>
                <w:szCs w:val="28"/>
              </w:rPr>
            </w:pPr>
            <w:r>
              <w:rPr>
                <w:rFonts w:hint="eastAsia"/>
                <w:sz w:val="28"/>
                <w:szCs w:val="28"/>
              </w:rPr>
              <w:t>（6）、 撞车的应对措施</w:t>
            </w:r>
          </w:p>
          <w:p>
            <w:pPr>
              <w:ind w:firstLine="560" w:firstLineChars="200"/>
              <w:rPr>
                <w:rFonts w:hint="eastAsia"/>
                <w:sz w:val="28"/>
                <w:szCs w:val="28"/>
              </w:rPr>
            </w:pPr>
            <w:r>
              <w:rPr>
                <w:rFonts w:hint="eastAsia"/>
                <w:sz w:val="28"/>
                <w:szCs w:val="28"/>
              </w:rPr>
              <w:t>a、发生撞车事故后，应迅速拨交通事故122，协助调查；</w:t>
            </w:r>
          </w:p>
          <w:p>
            <w:pPr>
              <w:ind w:firstLine="560" w:firstLineChars="200"/>
              <w:rPr>
                <w:rFonts w:hint="eastAsia"/>
                <w:sz w:val="28"/>
                <w:szCs w:val="28"/>
              </w:rPr>
            </w:pPr>
            <w:r>
              <w:rPr>
                <w:rFonts w:hint="eastAsia"/>
                <w:sz w:val="28"/>
                <w:szCs w:val="28"/>
              </w:rPr>
              <w:t>b、当事故发生后双方有生命危险或货物剧烈反应的（污染环境、火灾爆炸等），驾驶员还应立即向消防119、120、110报警请求救援，同时保护现场，请求过路群众或车辆紧急抢救、抢险，已造成危化泄漏的按“泄漏预案”执行；造成火灾爆炸的按“火灾、爆炸预案”执行；</w:t>
            </w:r>
          </w:p>
          <w:p>
            <w:pPr>
              <w:ind w:firstLine="560" w:firstLineChars="200"/>
              <w:rPr>
                <w:rFonts w:hint="eastAsia"/>
                <w:sz w:val="28"/>
                <w:szCs w:val="28"/>
              </w:rPr>
            </w:pPr>
            <w:r>
              <w:rPr>
                <w:rFonts w:hint="eastAsia"/>
                <w:sz w:val="28"/>
                <w:szCs w:val="28"/>
              </w:rPr>
              <w:t>c、告诫围观和过路人群迅速撤离；</w:t>
            </w:r>
          </w:p>
          <w:p>
            <w:pPr>
              <w:ind w:firstLine="560" w:firstLineChars="200"/>
              <w:rPr>
                <w:rFonts w:hint="eastAsia"/>
                <w:sz w:val="28"/>
                <w:szCs w:val="28"/>
              </w:rPr>
            </w:pPr>
            <w:r>
              <w:rPr>
                <w:rFonts w:hint="eastAsia"/>
                <w:sz w:val="28"/>
                <w:szCs w:val="28"/>
              </w:rPr>
              <w:t>d、救援人员到来后，报从指挥，配合做好善后处理工科调查取证工作。</w:t>
            </w:r>
          </w:p>
          <w:p>
            <w:pPr>
              <w:ind w:firstLine="560" w:firstLineChars="200"/>
              <w:outlineLvl w:val="0"/>
              <w:rPr>
                <w:rFonts w:hint="eastAsia"/>
                <w:sz w:val="28"/>
                <w:szCs w:val="28"/>
              </w:rPr>
            </w:pPr>
            <w:r>
              <w:rPr>
                <w:rFonts w:hint="eastAsia"/>
                <w:sz w:val="28"/>
                <w:szCs w:val="28"/>
              </w:rPr>
              <w:t>（7）、车辆坠落的应对措施</w:t>
            </w:r>
          </w:p>
          <w:p>
            <w:pPr>
              <w:ind w:firstLine="560" w:firstLineChars="200"/>
              <w:rPr>
                <w:rFonts w:hint="eastAsia"/>
                <w:sz w:val="28"/>
                <w:szCs w:val="28"/>
              </w:rPr>
            </w:pPr>
            <w:r>
              <w:rPr>
                <w:rFonts w:hint="eastAsia"/>
                <w:sz w:val="28"/>
                <w:szCs w:val="28"/>
              </w:rPr>
              <w:t>a、当发生车辆坠落公路（坠河）时，驾驶员、押运员要迅速逃生。</w:t>
            </w:r>
          </w:p>
          <w:p>
            <w:pPr>
              <w:ind w:firstLine="560" w:firstLineChars="200"/>
              <w:rPr>
                <w:rFonts w:hint="eastAsia"/>
                <w:sz w:val="28"/>
                <w:szCs w:val="28"/>
              </w:rPr>
            </w:pPr>
            <w:r>
              <w:rPr>
                <w:rFonts w:hint="eastAsia"/>
                <w:sz w:val="28"/>
                <w:szCs w:val="28"/>
              </w:rPr>
              <w:t>b、逃生后及时向相关部门报告，请求急救。</w:t>
            </w:r>
          </w:p>
          <w:p>
            <w:pPr>
              <w:ind w:firstLine="560" w:firstLineChars="200"/>
              <w:outlineLvl w:val="0"/>
              <w:rPr>
                <w:rFonts w:hint="eastAsia"/>
                <w:sz w:val="28"/>
                <w:szCs w:val="28"/>
              </w:rPr>
            </w:pPr>
            <w:r>
              <w:rPr>
                <w:rFonts w:hint="eastAsia"/>
                <w:sz w:val="28"/>
                <w:szCs w:val="28"/>
              </w:rPr>
              <w:t>5、 现场实时监测</w:t>
            </w:r>
          </w:p>
          <w:p>
            <w:pPr>
              <w:ind w:firstLine="560" w:firstLineChars="200"/>
              <w:rPr>
                <w:rFonts w:hint="eastAsia"/>
                <w:sz w:val="28"/>
                <w:szCs w:val="28"/>
              </w:rPr>
            </w:pPr>
            <w:r>
              <w:rPr>
                <w:rFonts w:hint="eastAsia"/>
                <w:sz w:val="28"/>
                <w:szCs w:val="28"/>
              </w:rPr>
              <w:t>事故发生造成的污染，要通知环保部门，由环保部门决定采取应急对策。</w:t>
            </w:r>
          </w:p>
          <w:p>
            <w:pPr>
              <w:outlineLvl w:val="0"/>
              <w:rPr>
                <w:rFonts w:hint="eastAsia"/>
                <w:sz w:val="28"/>
                <w:szCs w:val="28"/>
              </w:rPr>
            </w:pPr>
            <w:r>
              <w:rPr>
                <w:rFonts w:hint="eastAsia"/>
                <w:sz w:val="28"/>
                <w:szCs w:val="28"/>
              </w:rPr>
              <w:t xml:space="preserve">     6、受作人员救治</w:t>
            </w:r>
          </w:p>
          <w:p>
            <w:pPr>
              <w:ind w:firstLine="560" w:firstLineChars="200"/>
              <w:rPr>
                <w:rFonts w:hint="eastAsia"/>
                <w:sz w:val="28"/>
                <w:szCs w:val="28"/>
              </w:rPr>
            </w:pPr>
            <w:r>
              <w:rPr>
                <w:rFonts w:hint="eastAsia"/>
                <w:sz w:val="28"/>
                <w:szCs w:val="28"/>
              </w:rPr>
              <w:t>在事故中受伤的人员，视情况施以急救措施，同时向120急救中心救援，电话中要说清楚，事故发生地及产生伤害的原因，并作了什么应急处理。在救援车没有到达时，可拦截汽车将伤员送往医院，用手机与120急救中心保持联系，并听从救援指令。</w:t>
            </w:r>
          </w:p>
          <w:p>
            <w:pPr>
              <w:ind w:firstLine="560" w:firstLineChars="200"/>
              <w:rPr>
                <w:rFonts w:hint="eastAsia"/>
                <w:sz w:val="28"/>
                <w:szCs w:val="28"/>
              </w:rPr>
            </w:pPr>
            <w:r>
              <w:rPr>
                <w:rFonts w:hint="eastAsia"/>
                <w:sz w:val="28"/>
                <w:szCs w:val="28"/>
              </w:rPr>
              <w:t>7、现场保护与现场洗消</w:t>
            </w:r>
          </w:p>
          <w:p>
            <w:pPr>
              <w:ind w:firstLine="560" w:firstLineChars="200"/>
              <w:rPr>
                <w:rFonts w:hint="eastAsia"/>
                <w:sz w:val="28"/>
                <w:szCs w:val="28"/>
              </w:rPr>
            </w:pPr>
            <w:r>
              <w:rPr>
                <w:rFonts w:hint="eastAsia"/>
                <w:sz w:val="28"/>
                <w:szCs w:val="28"/>
              </w:rPr>
              <w:t>（1）、现场保护</w:t>
            </w:r>
          </w:p>
          <w:p>
            <w:pPr>
              <w:ind w:firstLine="560" w:firstLineChars="200"/>
              <w:rPr>
                <w:rFonts w:hint="eastAsia"/>
                <w:sz w:val="28"/>
                <w:szCs w:val="28"/>
              </w:rPr>
            </w:pPr>
            <w:r>
              <w:rPr>
                <w:rFonts w:hint="eastAsia"/>
                <w:sz w:val="28"/>
                <w:szCs w:val="28"/>
              </w:rPr>
              <w:t>在事故发生后驾驶员、押运员应设立警报，划定安全区。疏散周围人群，保护好现场。</w:t>
            </w:r>
          </w:p>
          <w:p>
            <w:pPr>
              <w:ind w:firstLine="560" w:firstLineChars="200"/>
              <w:outlineLvl w:val="0"/>
              <w:rPr>
                <w:rFonts w:hint="eastAsia"/>
                <w:sz w:val="28"/>
                <w:szCs w:val="28"/>
              </w:rPr>
            </w:pPr>
            <w:r>
              <w:rPr>
                <w:rFonts w:hint="eastAsia"/>
                <w:sz w:val="28"/>
                <w:szCs w:val="28"/>
              </w:rPr>
              <w:t>（2）、现场洗消</w:t>
            </w:r>
          </w:p>
          <w:p>
            <w:pPr>
              <w:ind w:firstLine="560" w:firstLineChars="200"/>
              <w:rPr>
                <w:rFonts w:hint="eastAsia"/>
                <w:sz w:val="28"/>
                <w:szCs w:val="28"/>
              </w:rPr>
            </w:pPr>
            <w:r>
              <w:rPr>
                <w:rFonts w:hint="eastAsia"/>
                <w:sz w:val="28"/>
                <w:szCs w:val="28"/>
              </w:rPr>
              <w:t>洗消是消除化学污染的有效方法。要针对泄漏危化品的特性，及时搞好好现场洗消，车辆和设备的洗消，填写事故现场记录。</w:t>
            </w:r>
          </w:p>
          <w:p>
            <w:pPr>
              <w:ind w:firstLine="560" w:firstLineChars="200"/>
              <w:outlineLvl w:val="0"/>
              <w:rPr>
                <w:rFonts w:hint="eastAsia"/>
                <w:sz w:val="28"/>
                <w:szCs w:val="28"/>
              </w:rPr>
            </w:pPr>
            <w:r>
              <w:rPr>
                <w:rFonts w:hint="eastAsia"/>
                <w:sz w:val="28"/>
                <w:szCs w:val="28"/>
              </w:rPr>
              <w:t>八、事故善后处理</w:t>
            </w:r>
          </w:p>
          <w:p>
            <w:pPr>
              <w:ind w:firstLine="560" w:firstLineChars="200"/>
              <w:rPr>
                <w:rFonts w:hint="eastAsia"/>
                <w:sz w:val="28"/>
                <w:szCs w:val="28"/>
              </w:rPr>
            </w:pPr>
            <w:r>
              <w:rPr>
                <w:rFonts w:hint="eastAsia"/>
                <w:sz w:val="28"/>
                <w:szCs w:val="28"/>
              </w:rPr>
              <w:t>事故应急救援终止程序</w:t>
            </w:r>
          </w:p>
          <w:p>
            <w:pPr>
              <w:ind w:firstLine="560" w:firstLineChars="200"/>
              <w:rPr>
                <w:rFonts w:hint="eastAsia"/>
                <w:sz w:val="28"/>
                <w:szCs w:val="28"/>
              </w:rPr>
            </w:pPr>
            <w:r>
              <w:rPr>
                <w:rFonts w:hint="eastAsia"/>
                <w:sz w:val="28"/>
                <w:szCs w:val="28"/>
              </w:rPr>
              <w:t>待事故解除后，终止救援。</w:t>
            </w:r>
          </w:p>
          <w:p>
            <w:pPr>
              <w:ind w:firstLine="560" w:firstLineChars="200"/>
              <w:rPr>
                <w:rFonts w:hint="eastAsia"/>
                <w:sz w:val="28"/>
                <w:szCs w:val="28"/>
              </w:rPr>
            </w:pPr>
            <w:r>
              <w:rPr>
                <w:rFonts w:hint="eastAsia"/>
                <w:sz w:val="28"/>
                <w:szCs w:val="28"/>
              </w:rPr>
              <w:t>（1）、驾、押员工保护好现场，协助事故调查，单位主管人员根据事故等级的大小及时向上级有关部门汇报。</w:t>
            </w:r>
          </w:p>
          <w:p>
            <w:pPr>
              <w:ind w:firstLine="560" w:firstLineChars="200"/>
              <w:rPr>
                <w:rFonts w:hint="eastAsia"/>
                <w:sz w:val="28"/>
                <w:szCs w:val="28"/>
              </w:rPr>
            </w:pPr>
            <w:r>
              <w:rPr>
                <w:rFonts w:hint="eastAsia"/>
                <w:sz w:val="28"/>
                <w:szCs w:val="28"/>
              </w:rPr>
              <w:t>（2）、组织力量迅速恢复生产。</w:t>
            </w:r>
          </w:p>
          <w:p>
            <w:pPr>
              <w:ind w:firstLine="560" w:firstLineChars="200"/>
              <w:rPr>
                <w:rFonts w:hint="eastAsia"/>
                <w:sz w:val="28"/>
                <w:szCs w:val="28"/>
              </w:rPr>
            </w:pPr>
            <w:r>
              <w:rPr>
                <w:rFonts w:hint="eastAsia"/>
                <w:sz w:val="28"/>
                <w:szCs w:val="28"/>
              </w:rPr>
              <w:t>（3）、落实“四不放过”原则。</w:t>
            </w:r>
          </w:p>
          <w:p>
            <w:pPr>
              <w:ind w:firstLine="560" w:firstLineChars="200"/>
              <w:outlineLvl w:val="0"/>
              <w:rPr>
                <w:rFonts w:hint="eastAsia"/>
                <w:sz w:val="28"/>
                <w:szCs w:val="28"/>
              </w:rPr>
            </w:pPr>
            <w:r>
              <w:rPr>
                <w:rFonts w:hint="eastAsia"/>
                <w:sz w:val="28"/>
                <w:szCs w:val="28"/>
              </w:rPr>
              <w:t>九、具体要求</w:t>
            </w:r>
          </w:p>
          <w:p>
            <w:pPr>
              <w:ind w:firstLine="560" w:firstLineChars="200"/>
              <w:rPr>
                <w:rFonts w:hint="eastAsia"/>
                <w:sz w:val="28"/>
                <w:szCs w:val="28"/>
              </w:rPr>
            </w:pPr>
            <w:r>
              <w:rPr>
                <w:rFonts w:hint="eastAsia"/>
                <w:sz w:val="28"/>
                <w:szCs w:val="28"/>
              </w:rPr>
              <w:t>1、办公室要对驾驶员及押运员进行应急技能、紧急逃生技能、救援技能的教育培训；</w:t>
            </w:r>
          </w:p>
          <w:p>
            <w:pPr>
              <w:ind w:firstLine="560" w:firstLineChars="200"/>
              <w:rPr>
                <w:rFonts w:hint="eastAsia"/>
                <w:sz w:val="28"/>
                <w:szCs w:val="28"/>
              </w:rPr>
            </w:pPr>
            <w:r>
              <w:rPr>
                <w:rFonts w:hint="eastAsia"/>
                <w:sz w:val="28"/>
                <w:szCs w:val="28"/>
              </w:rPr>
              <w:t>2、公司要对全体员工进行应急响应、应急响应知识的培训；</w:t>
            </w:r>
          </w:p>
          <w:p>
            <w:pPr>
              <w:ind w:firstLine="560" w:firstLineChars="200"/>
              <w:rPr>
                <w:rFonts w:hint="eastAsia"/>
                <w:sz w:val="28"/>
                <w:szCs w:val="28"/>
              </w:rPr>
            </w:pPr>
            <w:r>
              <w:rPr>
                <w:rFonts w:hint="eastAsia"/>
                <w:sz w:val="28"/>
                <w:szCs w:val="28"/>
              </w:rPr>
              <w:t>3、公司每年要组织两次应急演练，在短时间内要覆盖应急预案中的几种危险化学品的事故内容；</w:t>
            </w:r>
          </w:p>
          <w:p>
            <w:pPr>
              <w:ind w:firstLine="560" w:firstLineChars="200"/>
              <w:rPr>
                <w:rFonts w:hint="eastAsia"/>
                <w:sz w:val="28"/>
                <w:szCs w:val="28"/>
              </w:rPr>
            </w:pPr>
            <w:r>
              <w:rPr>
                <w:rFonts w:hint="eastAsia"/>
                <w:sz w:val="28"/>
                <w:szCs w:val="28"/>
              </w:rPr>
              <w:t xml:space="preserve">4、公司要根据对演练中暴露的问题和对预案的可行性进行评估和分析。             </w:t>
            </w:r>
          </w:p>
          <w:p>
            <w:pPr>
              <w:ind w:firstLine="440" w:firstLineChars="200"/>
              <w:rPr>
                <w:rFonts w:hint="eastAsia"/>
              </w:rPr>
            </w:pPr>
            <w:r>
              <w:rPr>
                <w:rFonts w:hint="eastAsia"/>
              </w:rPr>
              <w:t xml:space="preserve">                    </w:t>
            </w:r>
          </w:p>
          <w:p>
            <w:pPr>
              <w:jc w:val="center"/>
              <w:rPr>
                <w:rFonts w:ascii="仿宋" w:hAnsi="仿宋" w:eastAsia="仿宋"/>
                <w:b/>
                <w:sz w:val="24"/>
                <w:szCs w:val="24"/>
              </w:rPr>
            </w:pPr>
          </w:p>
          <w:p>
            <w:pPr>
              <w:widowControl w:val="0"/>
              <w:adjustRightInd/>
              <w:snapToGrid/>
              <w:spacing w:after="0"/>
              <w:ind w:firstLine="4760" w:firstLineChars="1700"/>
              <w:jc w:val="both"/>
              <w:rPr>
                <w:rFonts w:hint="eastAsia" w:ascii="Times New Roman"/>
                <w:bCs/>
                <w:sz w:val="28"/>
                <w:szCs w:val="28"/>
                <w:lang w:eastAsia="zh-CN"/>
              </w:rPr>
            </w:pPr>
            <w:r>
              <w:rPr>
                <w:rFonts w:hint="eastAsia" w:ascii="Times New Roman"/>
                <w:bCs/>
                <w:sz w:val="28"/>
                <w:szCs w:val="28"/>
                <w:lang w:eastAsia="zh-CN"/>
              </w:rPr>
              <w:t>编制单位：开化盛翔物流有限公司</w:t>
            </w:r>
          </w:p>
          <w:p>
            <w:pPr>
              <w:widowControl w:val="0"/>
              <w:adjustRightInd/>
              <w:snapToGrid/>
              <w:spacing w:after="0"/>
              <w:ind w:firstLine="4760" w:firstLineChars="1700"/>
              <w:jc w:val="both"/>
              <w:rPr>
                <w:rFonts w:hint="default" w:ascii="Times New Roman"/>
                <w:bCs/>
                <w:szCs w:val="24"/>
                <w:lang w:val="en-US" w:eastAsia="zh-CN"/>
              </w:rPr>
            </w:pPr>
            <w:r>
              <w:rPr>
                <w:rFonts w:hint="eastAsia" w:ascii="Times New Roman"/>
                <w:bCs/>
                <w:sz w:val="28"/>
                <w:szCs w:val="28"/>
                <w:lang w:eastAsia="zh-CN"/>
              </w:rPr>
              <w:t>编制日期：</w:t>
            </w:r>
            <w:r>
              <w:rPr>
                <w:rFonts w:hint="eastAsia" w:ascii="Times New Roman"/>
                <w:bCs/>
                <w:sz w:val="28"/>
                <w:szCs w:val="28"/>
                <w:lang w:val="en-US" w:eastAsia="zh-CN"/>
              </w:rPr>
              <w:t>2021年12月1日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0" w:hRule="atLeast"/>
        </w:trPr>
        <w:tc>
          <w:tcPr>
            <w:tcW w:w="9345" w:type="dxa"/>
          </w:tcPr>
          <w:p>
            <w:pPr>
              <w:rPr>
                <w:rFonts w:ascii="Times New Roman" w:hAnsi="Times New Roman" w:eastAsia="黑体"/>
                <w:sz w:val="28"/>
                <w:szCs w:val="28"/>
              </w:rPr>
            </w:pPr>
            <w:r>
              <w:rPr>
                <w:rFonts w:hint="eastAsia" w:ascii="Times New Roman" w:eastAsia="黑体"/>
                <w:sz w:val="28"/>
                <w:szCs w:val="28"/>
              </w:rPr>
              <w:t>第三部分废物处理处置情况</w:t>
            </w:r>
          </w:p>
          <w:tbl>
            <w:tblPr>
              <w:tblStyle w:val="6"/>
              <w:tblW w:w="9345"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5"/>
              <w:gridCol w:w="4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48" w:hRule="atLeast"/>
              </w:trPr>
              <w:tc>
                <w:tcPr>
                  <w:tcW w:w="9345" w:type="dxa"/>
                  <w:gridSpan w:val="2"/>
                  <w:vAlign w:val="center"/>
                </w:tcPr>
                <w:p>
                  <w:pPr>
                    <w:rPr>
                      <w:rFonts w:ascii="Times New Roman" w:hAnsi="Times New Roman"/>
                      <w:b/>
                      <w:bCs/>
                    </w:rPr>
                  </w:pPr>
                  <w:r>
                    <w:rPr>
                      <w:rFonts w:hint="eastAsia" w:ascii="Times New Roman"/>
                      <w:b/>
                      <w:bCs/>
                    </w:rPr>
                    <w:t>表</w:t>
                  </w:r>
                  <w:r>
                    <w:rPr>
                      <w:rFonts w:ascii="Times New Roman" w:hAnsi="Times New Roman"/>
                      <w:b/>
                      <w:bCs/>
                    </w:rPr>
                    <w:t xml:space="preserve">1   </w:t>
                  </w:r>
                  <w:r>
                    <w:rPr>
                      <w:rFonts w:hint="eastAsia" w:ascii="Times New Roman"/>
                      <w:b/>
                      <w:bCs/>
                    </w:rPr>
                    <w:t>接受单位基本情况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9345" w:type="dxa"/>
                  <w:gridSpan w:val="2"/>
                  <w:vAlign w:val="center"/>
                </w:tcPr>
                <w:p>
                  <w:pPr>
                    <w:rPr>
                      <w:rFonts w:ascii="Times New Roman" w:hAnsi="Times New Roman"/>
                    </w:rPr>
                  </w:pPr>
                  <w:r>
                    <w:rPr>
                      <w:rFonts w:hint="eastAsia" w:ascii="Times New Roman"/>
                    </w:rPr>
                    <w:t>单位名称：浙江汇金</w:t>
                  </w:r>
                  <w:r>
                    <w:rPr>
                      <w:rFonts w:hint="eastAsia" w:ascii="Times New Roman"/>
                      <w:lang w:eastAsia="zh-CN"/>
                    </w:rPr>
                    <w:t>环保科技</w:t>
                  </w:r>
                  <w:r>
                    <w:rPr>
                      <w:rFonts w:hint="eastAsia" w:ascii="Times New Roman"/>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145" w:type="dxa"/>
                  <w:vAlign w:val="center"/>
                </w:tcPr>
                <w:p>
                  <w:pPr>
                    <w:rPr>
                      <w:rFonts w:ascii="Times New Roman" w:hAnsi="Times New Roman"/>
                    </w:rPr>
                  </w:pPr>
                  <w:r>
                    <w:rPr>
                      <w:rFonts w:hint="eastAsia" w:ascii="Times New Roman"/>
                    </w:rPr>
                    <w:t>危废经营许可证编号：浙危废经第</w:t>
                  </w:r>
                  <w:r>
                    <w:rPr>
                      <w:rFonts w:hint="eastAsia" w:ascii="Times New Roman"/>
                      <w:lang w:val="en-US" w:eastAsia="zh-CN"/>
                    </w:rPr>
                    <w:t>3311000265</w:t>
                  </w:r>
                  <w:r>
                    <w:rPr>
                      <w:rFonts w:hint="eastAsia" w:ascii="Times New Roman"/>
                    </w:rPr>
                    <w:t>号</w:t>
                  </w:r>
                </w:p>
              </w:tc>
              <w:tc>
                <w:tcPr>
                  <w:tcW w:w="4200" w:type="dxa"/>
                  <w:vAlign w:val="center"/>
                </w:tcPr>
                <w:p>
                  <w:pPr>
                    <w:rPr>
                      <w:rFonts w:ascii="Times New Roman" w:hAnsi="Times New Roman"/>
                    </w:rPr>
                  </w:pPr>
                  <w:r>
                    <w:rPr>
                      <w:rFonts w:hint="eastAsia" w:ascii="Times New Roman"/>
                    </w:rPr>
                    <w:t>有效期：</w:t>
                  </w:r>
                  <w:r>
                    <w:rPr>
                      <w:rFonts w:ascii="Times New Roman"/>
                    </w:rPr>
                    <w:t>202</w:t>
                  </w:r>
                  <w:r>
                    <w:rPr>
                      <w:rFonts w:hint="eastAsia" w:ascii="Times New Roman"/>
                      <w:lang w:val="en-US" w:eastAsia="zh-CN"/>
                    </w:rPr>
                    <w:t>6</w:t>
                  </w:r>
                  <w:r>
                    <w:rPr>
                      <w:rFonts w:hint="eastAsia" w:ascii="Times New Roman"/>
                    </w:rPr>
                    <w:t>年</w:t>
                  </w:r>
                  <w:r>
                    <w:rPr>
                      <w:rFonts w:hint="eastAsia" w:ascii="Times New Roman"/>
                      <w:lang w:val="en-US" w:eastAsia="zh-CN"/>
                    </w:rPr>
                    <w:t>10</w:t>
                  </w:r>
                  <w:r>
                    <w:rPr>
                      <w:rFonts w:hint="eastAsia" w:ascii="Times New Roman"/>
                    </w:rPr>
                    <w:t>月</w:t>
                  </w:r>
                  <w:r>
                    <w:rPr>
                      <w:rFonts w:hint="eastAsia" w:ascii="Times New Roman"/>
                      <w:lang w:val="en-US" w:eastAsia="zh-CN"/>
                    </w:rPr>
                    <w:t>31</w:t>
                  </w:r>
                  <w:r>
                    <w:rPr>
                      <w:rFonts w:hint="eastAsia" w:ascii="Times New Roman"/>
                    </w:rPr>
                    <w:t>日</w:t>
                  </w:r>
                </w:p>
              </w:tc>
            </w:tr>
          </w:tbl>
          <w:p>
            <w:pPr>
              <w:rPr>
                <w:rFonts w:ascii="Times New Roman"/>
              </w:rPr>
            </w:pPr>
            <w:r>
              <w:rPr>
                <w:rFonts w:hint="eastAsia" w:ascii="Times New Roman"/>
              </w:rPr>
              <w:t>经营核准内容（废物名称、类别、数量）：</w:t>
            </w:r>
          </w:p>
          <w:p>
            <w:pPr>
              <w:rPr>
                <w:rFonts w:ascii="Times New Roman"/>
              </w:rPr>
            </w:pPr>
          </w:p>
          <w:p>
            <w:pPr>
              <w:rPr>
                <w:rFonts w:ascii="Times New Roman"/>
              </w:rPr>
            </w:pPr>
            <w:r>
              <w:rPr>
                <w:rFonts w:hint="eastAsia" w:ascii="Times New Roman"/>
              </w:rPr>
              <w:t>收集﹑贮存﹑利用表面处理废物（HW17）、</w:t>
            </w:r>
            <w:r>
              <w:rPr>
                <w:rFonts w:hint="eastAsia" w:ascii="Times New Roman"/>
                <w:lang w:eastAsia="zh-CN"/>
              </w:rPr>
              <w:t>焚烧处置残渣（</w:t>
            </w:r>
            <w:r>
              <w:rPr>
                <w:rFonts w:hint="eastAsia" w:ascii="Times New Roman"/>
                <w:lang w:val="en-US" w:eastAsia="zh-CN"/>
              </w:rPr>
              <w:t>HW18)、</w:t>
            </w:r>
            <w:r>
              <w:rPr>
                <w:rFonts w:hint="eastAsia" w:ascii="Times New Roman"/>
              </w:rPr>
              <w:t>含铜污泥(HW22)</w:t>
            </w:r>
            <w:r>
              <w:rPr>
                <w:rFonts w:hint="eastAsia" w:ascii="Times New Roman"/>
                <w:lang w:val="en-US" w:eastAsia="zh-CN"/>
              </w:rPr>
              <w:t>、含镍废物（HW46)</w:t>
            </w:r>
            <w:r>
              <w:rPr>
                <w:rFonts w:hint="eastAsia" w:ascii="Times New Roman"/>
              </w:rPr>
              <w:t>)、有色金属冶炼废物(HW48)</w:t>
            </w:r>
            <w:r>
              <w:rPr>
                <w:rFonts w:hint="eastAsia" w:ascii="Times New Roman"/>
                <w:lang w:val="en-US" w:eastAsia="zh-CN"/>
              </w:rPr>
              <w:t>、</w:t>
            </w:r>
            <w:r>
              <w:rPr>
                <w:rFonts w:hint="eastAsia" w:ascii="Times New Roman"/>
                <w:lang w:eastAsia="zh-CN"/>
              </w:rPr>
              <w:t>废催化剂</w:t>
            </w:r>
            <w:r>
              <w:rPr>
                <w:rFonts w:hint="eastAsia" w:ascii="Times New Roman"/>
              </w:rPr>
              <w:t>(HW</w:t>
            </w:r>
            <w:r>
              <w:rPr>
                <w:rFonts w:hint="eastAsia" w:ascii="Times New Roman"/>
                <w:lang w:val="en-US" w:eastAsia="zh-CN"/>
              </w:rPr>
              <w:t>50</w:t>
            </w:r>
            <w:r>
              <w:rPr>
                <w:rFonts w:hint="eastAsia" w:ascii="Times New Roman"/>
              </w:rPr>
              <w:t>)共</w:t>
            </w:r>
            <w:r>
              <w:rPr>
                <w:rFonts w:hint="eastAsia" w:ascii="Times New Roman"/>
                <w:lang w:val="en-US" w:eastAsia="zh-CN"/>
              </w:rPr>
              <w:t>5</w:t>
            </w:r>
            <w:r>
              <w:rPr>
                <w:rFonts w:hint="eastAsia" w:ascii="Times New Roman"/>
              </w:rPr>
              <w:t>万吨。</w:t>
            </w:r>
          </w:p>
          <w:p>
            <w:pPr>
              <w:widowControl w:val="0"/>
              <w:adjustRightInd/>
              <w:snapToGrid/>
              <w:spacing w:after="0"/>
              <w:jc w:val="both"/>
              <w:rPr>
                <w:rFonts w:ascii="Times New Roman"/>
                <w:bCs/>
                <w:szCs w:val="24"/>
              </w:rPr>
            </w:pPr>
          </w:p>
        </w:tc>
      </w:tr>
    </w:tbl>
    <w:p>
      <w:pPr>
        <w:rPr>
          <w:rFonts w:ascii="Times New Roman" w:eastAsia="黑体"/>
          <w:sz w:val="28"/>
          <w:szCs w:val="28"/>
        </w:rPr>
      </w:pPr>
    </w:p>
    <w:p>
      <w:pPr>
        <w:rPr>
          <w:rFonts w:ascii="Times New Roman" w:eastAsia="黑体"/>
          <w:sz w:val="28"/>
          <w:szCs w:val="28"/>
        </w:rPr>
      </w:pPr>
    </w:p>
    <w:tbl>
      <w:tblPr>
        <w:tblStyle w:val="6"/>
        <w:tblW w:w="9363"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86" w:hRule="atLeast"/>
        </w:trPr>
        <w:tc>
          <w:tcPr>
            <w:tcW w:w="9363" w:type="dxa"/>
          </w:tcPr>
          <w:p>
            <w:pPr>
              <w:spacing w:line="300" w:lineRule="exact"/>
              <w:rPr>
                <w:rFonts w:hint="eastAsia" w:ascii="Times New Roman"/>
                <w:b/>
                <w:bCs/>
              </w:rPr>
            </w:pPr>
          </w:p>
          <w:p>
            <w:pPr>
              <w:spacing w:line="300" w:lineRule="exact"/>
              <w:rPr>
                <w:rFonts w:hint="eastAsia" w:ascii="Times New Roman"/>
                <w:b/>
                <w:bCs/>
              </w:rPr>
            </w:pPr>
          </w:p>
          <w:p>
            <w:pPr>
              <w:spacing w:line="300" w:lineRule="exact"/>
              <w:rPr>
                <w:rFonts w:ascii="Times New Roman"/>
                <w:szCs w:val="24"/>
              </w:rPr>
            </w:pPr>
            <w:r>
              <w:rPr>
                <w:rFonts w:hint="eastAsia" w:ascii="Times New Roman"/>
                <w:b/>
                <w:bCs/>
              </w:rPr>
              <w:t>表</w:t>
            </w:r>
            <w:r>
              <w:rPr>
                <w:rFonts w:ascii="Times New Roman" w:hAnsi="Times New Roman"/>
                <w:b/>
                <w:bCs/>
              </w:rPr>
              <w:t xml:space="preserve">2   </w:t>
            </w:r>
            <w:r>
              <w:rPr>
                <w:rFonts w:hint="eastAsia" w:ascii="Times New Roman"/>
                <w:b/>
                <w:bCs/>
              </w:rPr>
              <w:t>与接收废物相关的处理处置情况</w:t>
            </w:r>
          </w:p>
          <w:p>
            <w:pPr>
              <w:spacing w:line="300" w:lineRule="exact"/>
              <w:rPr>
                <w:rFonts w:ascii="Times New Roman"/>
                <w:szCs w:val="24"/>
              </w:rPr>
            </w:pPr>
            <w:r>
              <w:rPr>
                <w:rFonts w:hint="eastAsia" w:ascii="Times New Roman"/>
                <w:szCs w:val="24"/>
              </w:rPr>
              <w:t>文字描述及工艺流程图</w:t>
            </w:r>
          </w:p>
          <w:p>
            <w:pPr>
              <w:rPr>
                <w:szCs w:val="21"/>
              </w:rPr>
            </w:pPr>
            <w:r>
              <w:rPr>
                <w:rFonts w:hint="eastAsia"/>
                <w:szCs w:val="21"/>
              </w:rPr>
              <w:t>处理处置工艺技术（文字说明）：</w:t>
            </w:r>
          </w:p>
          <w:p>
            <w:pPr>
              <w:ind w:firstLine="420" w:firstLineChars="200"/>
              <w:rPr>
                <w:rFonts w:ascii="Calibri" w:hAnsi="Calibri" w:eastAsia="宋体"/>
                <w:kern w:val="2"/>
                <w:sz w:val="21"/>
                <w:szCs w:val="24"/>
              </w:rPr>
            </w:pPr>
            <w:r>
              <w:rPr>
                <w:rFonts w:hint="eastAsia"/>
                <w:sz w:val="21"/>
              </w:rPr>
              <w:t>将含金属危险废物于辅助材料按照一定的配比混合，投入烧结窑烧结，将烧结后的物料投入环保熔炼炉熔炼，产出的金属合金锭用于后续的深加工，炉渣作为一般固废进行统一处理，烟气进入除尘系统后通入脱硫系统监测达标后排入空中，除尘系统产生的烟灰返回到上游进行循环利用。</w:t>
            </w:r>
          </w:p>
          <w:p>
            <w:pPr>
              <w:spacing w:line="300" w:lineRule="exact"/>
              <w:rPr>
                <w:rFonts w:ascii="Times New Roman" w:hAnsi="Times New Roman"/>
                <w:szCs w:val="24"/>
              </w:rPr>
            </w:pPr>
          </w:p>
          <w:p>
            <w:pPr>
              <w:rPr>
                <w:rFonts w:ascii="Times New Roman" w:hAnsi="Times New Roman"/>
                <w:b/>
                <w:bCs/>
              </w:rPr>
            </w:pPr>
            <w:r>
              <w:rPr>
                <w:rFonts w:ascii="Times New Roman" w:hAnsi="Times New Roman"/>
                <w:b/>
              </w:rPr>
              <w:drawing>
                <wp:inline distT="0" distB="0" distL="114300" distR="114300">
                  <wp:extent cx="4857750" cy="3781425"/>
                  <wp:effectExtent l="0" t="0" r="0" b="9525"/>
                  <wp:docPr id="2" name="图片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11"/>
                          <pic:cNvPicPr>
                            <a:picLocks noChangeAspect="1"/>
                          </pic:cNvPicPr>
                        </pic:nvPicPr>
                        <pic:blipFill>
                          <a:blip r:embed="rId8"/>
                          <a:stretch>
                            <a:fillRect/>
                          </a:stretch>
                        </pic:blipFill>
                        <pic:spPr>
                          <a:xfrm>
                            <a:off x="0" y="0"/>
                            <a:ext cx="4857750" cy="3781425"/>
                          </a:xfrm>
                          <a:prstGeom prst="rect">
                            <a:avLst/>
                          </a:prstGeom>
                          <a:noFill/>
                          <a:ln>
                            <a:noFill/>
                          </a:ln>
                        </pic:spPr>
                      </pic:pic>
                    </a:graphicData>
                  </a:graphic>
                </wp:inline>
              </w:drawing>
            </w:r>
          </w:p>
        </w:tc>
      </w:tr>
    </w:tbl>
    <w:p>
      <w:pPr>
        <w:rPr>
          <w:rFonts w:ascii="Times New Roman" w:hAnsi="Times New Roman"/>
        </w:rPr>
        <w:sectPr>
          <w:pgSz w:w="11906" w:h="16838"/>
          <w:pgMar w:top="1440" w:right="1797" w:bottom="1440" w:left="1797" w:header="851" w:footer="992" w:gutter="0"/>
          <w:cols w:space="425" w:num="1"/>
          <w:docGrid w:type="lines" w:linePitch="312" w:charSpace="0"/>
        </w:sectPr>
      </w:pPr>
    </w:p>
    <w:p>
      <w:pPr>
        <w:rPr>
          <w:rFonts w:ascii="Times New Roman" w:hAnsi="Times New Roman" w:eastAsia="黑体"/>
          <w:sz w:val="28"/>
          <w:szCs w:val="28"/>
        </w:rPr>
      </w:pPr>
      <w:r>
        <w:rPr>
          <w:rFonts w:hint="eastAsia" w:ascii="Times New Roman" w:eastAsia="黑体"/>
          <w:sz w:val="28"/>
          <w:szCs w:val="28"/>
        </w:rPr>
        <w:t>第四部分上年度固体（危险）废物跨省转移情况</w:t>
      </w:r>
    </w:p>
    <w:tbl>
      <w:tblPr>
        <w:tblStyle w:val="6"/>
        <w:tblW w:w="15168"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1460"/>
        <w:gridCol w:w="1460"/>
        <w:gridCol w:w="1460"/>
        <w:gridCol w:w="1460"/>
        <w:gridCol w:w="1460"/>
        <w:gridCol w:w="1460"/>
        <w:gridCol w:w="1460"/>
        <w:gridCol w:w="1460"/>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vAlign w:val="center"/>
          </w:tcPr>
          <w:p>
            <w:pPr>
              <w:jc w:val="center"/>
              <w:rPr>
                <w:rFonts w:ascii="Times New Roman" w:hAnsi="Times New Roman"/>
              </w:rPr>
            </w:pPr>
            <w:r>
              <w:rPr>
                <w:rFonts w:hint="eastAsia" w:ascii="Times New Roman" w:hAnsi="宋体"/>
              </w:rPr>
              <w:t>出厂日期</w:t>
            </w:r>
          </w:p>
        </w:tc>
        <w:tc>
          <w:tcPr>
            <w:tcW w:w="1460" w:type="dxa"/>
            <w:vAlign w:val="center"/>
          </w:tcPr>
          <w:p>
            <w:pPr>
              <w:jc w:val="center"/>
              <w:rPr>
                <w:rFonts w:ascii="Times New Roman" w:hAnsi="Times New Roman"/>
              </w:rPr>
            </w:pPr>
            <w:r>
              <w:rPr>
                <w:rFonts w:hint="eastAsia" w:ascii="Times New Roman" w:hAnsi="宋体"/>
              </w:rPr>
              <w:t>转移批次</w:t>
            </w:r>
          </w:p>
        </w:tc>
        <w:tc>
          <w:tcPr>
            <w:tcW w:w="1460" w:type="dxa"/>
            <w:vAlign w:val="center"/>
          </w:tcPr>
          <w:p>
            <w:pPr>
              <w:jc w:val="center"/>
              <w:rPr>
                <w:rFonts w:ascii="Times New Roman" w:hAnsi="Times New Roman"/>
              </w:rPr>
            </w:pPr>
            <w:r>
              <w:rPr>
                <w:rFonts w:hint="eastAsia" w:ascii="Times New Roman" w:hAnsi="宋体"/>
              </w:rPr>
              <w:t>联单编号</w:t>
            </w:r>
          </w:p>
        </w:tc>
        <w:tc>
          <w:tcPr>
            <w:tcW w:w="1460" w:type="dxa"/>
            <w:vAlign w:val="center"/>
          </w:tcPr>
          <w:p>
            <w:pPr>
              <w:jc w:val="center"/>
              <w:rPr>
                <w:rFonts w:ascii="Times New Roman" w:hAnsi="Times New Roman"/>
              </w:rPr>
            </w:pPr>
            <w:r>
              <w:rPr>
                <w:rFonts w:hint="eastAsia" w:ascii="Times New Roman" w:hAnsi="宋体"/>
              </w:rPr>
              <w:t>废物名称</w:t>
            </w:r>
          </w:p>
        </w:tc>
        <w:tc>
          <w:tcPr>
            <w:tcW w:w="1460" w:type="dxa"/>
            <w:vAlign w:val="center"/>
          </w:tcPr>
          <w:p>
            <w:pPr>
              <w:jc w:val="center"/>
              <w:rPr>
                <w:rFonts w:ascii="Times New Roman" w:hAnsi="Times New Roman"/>
              </w:rPr>
            </w:pPr>
            <w:r>
              <w:rPr>
                <w:rFonts w:hint="eastAsia" w:ascii="Times New Roman" w:hAnsi="宋体"/>
              </w:rPr>
              <w:t>类别</w:t>
            </w:r>
            <w:r>
              <w:rPr>
                <w:rFonts w:ascii="Times New Roman" w:hAnsi="Times New Roman"/>
              </w:rPr>
              <w:t>/</w:t>
            </w:r>
            <w:r>
              <w:rPr>
                <w:rFonts w:hint="eastAsia" w:ascii="Times New Roman" w:hAnsi="宋体"/>
              </w:rPr>
              <w:t>代码</w:t>
            </w:r>
          </w:p>
        </w:tc>
        <w:tc>
          <w:tcPr>
            <w:tcW w:w="1460" w:type="dxa"/>
            <w:vAlign w:val="center"/>
          </w:tcPr>
          <w:p>
            <w:pPr>
              <w:jc w:val="center"/>
              <w:rPr>
                <w:rFonts w:ascii="Times New Roman" w:hAnsi="Times New Roman"/>
              </w:rPr>
            </w:pPr>
            <w:r>
              <w:rPr>
                <w:rFonts w:hint="eastAsia" w:ascii="Times New Roman" w:hAnsi="宋体"/>
              </w:rPr>
              <w:t>转移量（吨）</w:t>
            </w:r>
          </w:p>
        </w:tc>
        <w:tc>
          <w:tcPr>
            <w:tcW w:w="1460" w:type="dxa"/>
            <w:vAlign w:val="center"/>
          </w:tcPr>
          <w:p>
            <w:pPr>
              <w:jc w:val="center"/>
              <w:rPr>
                <w:rFonts w:ascii="Times New Roman" w:hAnsi="Times New Roman"/>
              </w:rPr>
            </w:pPr>
            <w:r>
              <w:rPr>
                <w:rFonts w:hint="eastAsia" w:ascii="Times New Roman"/>
              </w:rPr>
              <w:t>运输单位</w:t>
            </w:r>
          </w:p>
        </w:tc>
        <w:tc>
          <w:tcPr>
            <w:tcW w:w="1460" w:type="dxa"/>
            <w:vAlign w:val="center"/>
          </w:tcPr>
          <w:p>
            <w:pPr>
              <w:jc w:val="center"/>
              <w:rPr>
                <w:rFonts w:ascii="Times New Roman" w:hAnsi="Times New Roman"/>
              </w:rPr>
            </w:pPr>
            <w:r>
              <w:rPr>
                <w:rFonts w:hint="eastAsia" w:ascii="Times New Roman"/>
              </w:rPr>
              <w:t>车号</w:t>
            </w:r>
          </w:p>
        </w:tc>
        <w:tc>
          <w:tcPr>
            <w:tcW w:w="1460" w:type="dxa"/>
            <w:vAlign w:val="center"/>
          </w:tcPr>
          <w:p>
            <w:pPr>
              <w:jc w:val="center"/>
              <w:rPr>
                <w:rFonts w:ascii="Times New Roman" w:hAnsi="Times New Roman"/>
              </w:rPr>
            </w:pPr>
            <w:r>
              <w:rPr>
                <w:rFonts w:hint="eastAsia" w:ascii="Times New Roman" w:hAnsi="宋体"/>
              </w:rPr>
              <w:t>接收单位</w:t>
            </w:r>
          </w:p>
        </w:tc>
        <w:tc>
          <w:tcPr>
            <w:tcW w:w="1744" w:type="dxa"/>
            <w:vAlign w:val="center"/>
          </w:tcPr>
          <w:p>
            <w:pPr>
              <w:jc w:val="center"/>
              <w:rPr>
                <w:rFonts w:ascii="Times New Roman" w:hAnsi="Times New Roman"/>
              </w:rPr>
            </w:pPr>
            <w:r>
              <w:rPr>
                <w:rFonts w:hint="eastAsia" w:ascii="Times New Roman" w:hAnsi="宋体"/>
              </w:rPr>
              <w:t>接收日期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tcPr>
          <w:p>
            <w:pPr>
              <w:rPr>
                <w:rFonts w:hint="default" w:ascii="Times New Roman" w:hAnsi="Times New Roman" w:eastAsia="微软雅黑"/>
                <w:lang w:val="en-US" w:eastAsia="zh-CN"/>
              </w:rPr>
            </w:pPr>
          </w:p>
        </w:tc>
        <w:tc>
          <w:tcPr>
            <w:tcW w:w="1460" w:type="dxa"/>
          </w:tcPr>
          <w:p>
            <w:pPr>
              <w:rPr>
                <w:rFonts w:hint="eastAsia" w:ascii="Times New Roman" w:hAnsi="Times New Roman" w:eastAsia="微软雅黑"/>
                <w:lang w:val="en-US" w:eastAsia="zh-CN"/>
              </w:rPr>
            </w:pPr>
          </w:p>
        </w:tc>
        <w:tc>
          <w:tcPr>
            <w:tcW w:w="1460" w:type="dxa"/>
          </w:tcPr>
          <w:p>
            <w:pPr>
              <w:rPr>
                <w:rFonts w:hint="default" w:ascii="Times New Roman" w:hAnsi="Times New Roman" w:eastAsia="微软雅黑"/>
                <w:lang w:val="en-US" w:eastAsia="zh-CN"/>
              </w:rPr>
            </w:pPr>
          </w:p>
        </w:tc>
        <w:tc>
          <w:tcPr>
            <w:tcW w:w="1460" w:type="dxa"/>
          </w:tcPr>
          <w:p>
            <w:pPr>
              <w:rPr>
                <w:rFonts w:hint="eastAsia" w:ascii="Times New Roman" w:hAnsi="Times New Roman" w:eastAsia="微软雅黑"/>
                <w:lang w:val="en-US" w:eastAsia="zh-CN"/>
              </w:rPr>
            </w:pPr>
          </w:p>
        </w:tc>
        <w:tc>
          <w:tcPr>
            <w:tcW w:w="1460" w:type="dxa"/>
          </w:tcPr>
          <w:p>
            <w:pPr>
              <w:rPr>
                <w:rFonts w:hint="default" w:ascii="Times New Roman" w:hAnsi="Times New Roman" w:eastAsia="微软雅黑"/>
                <w:lang w:val="en-US" w:eastAsia="zh-CN"/>
              </w:rPr>
            </w:pPr>
          </w:p>
        </w:tc>
        <w:tc>
          <w:tcPr>
            <w:tcW w:w="1460" w:type="dxa"/>
          </w:tcPr>
          <w:p>
            <w:pPr>
              <w:rPr>
                <w:rFonts w:hint="default" w:ascii="Times New Roman" w:hAnsi="Times New Roman" w:eastAsia="微软雅黑"/>
                <w:lang w:val="en-US" w:eastAsia="zh-CN"/>
              </w:rPr>
            </w:pPr>
          </w:p>
        </w:tc>
        <w:tc>
          <w:tcPr>
            <w:tcW w:w="1460" w:type="dxa"/>
          </w:tcPr>
          <w:p>
            <w:pPr>
              <w:rPr>
                <w:rFonts w:hint="eastAsia" w:ascii="Times New Roman" w:hAnsi="Times New Roman" w:eastAsia="微软雅黑"/>
                <w:lang w:eastAsia="zh-CN"/>
              </w:rPr>
            </w:pPr>
          </w:p>
        </w:tc>
        <w:tc>
          <w:tcPr>
            <w:tcW w:w="1460" w:type="dxa"/>
          </w:tcPr>
          <w:p>
            <w:pPr>
              <w:rPr>
                <w:rFonts w:hint="default" w:ascii="Times New Roman" w:hAnsi="Times New Roman" w:eastAsia="微软雅黑"/>
                <w:lang w:val="en-US" w:eastAsia="zh-CN"/>
              </w:rPr>
            </w:pPr>
          </w:p>
        </w:tc>
        <w:tc>
          <w:tcPr>
            <w:tcW w:w="1460" w:type="dxa"/>
          </w:tcPr>
          <w:p>
            <w:pPr>
              <w:rPr>
                <w:rFonts w:hint="eastAsia" w:ascii="Times New Roman" w:hAnsi="Times New Roman" w:eastAsia="微软雅黑"/>
                <w:lang w:eastAsia="zh-CN"/>
              </w:rPr>
            </w:pPr>
          </w:p>
        </w:tc>
        <w:tc>
          <w:tcPr>
            <w:tcW w:w="1744" w:type="dxa"/>
          </w:tcPr>
          <w:p>
            <w:pPr>
              <w:rPr>
                <w:rFonts w:hint="default" w:ascii="Times New Roman" w:hAnsi="Times New Roman" w:eastAsia="微软雅黑"/>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744" w:type="dxa"/>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744" w:type="dxa"/>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744" w:type="dxa"/>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744" w:type="dxa"/>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tcPr>
          <w:p>
            <w:pPr>
              <w:rPr>
                <w:rFonts w:ascii="Times New Roman" w:hAnsi="Times New Roman"/>
              </w:rPr>
            </w:pPr>
            <w:r>
              <w:rPr>
                <w:rFonts w:hint="eastAsia" w:ascii="Times New Roman"/>
              </w:rPr>
              <w:t>合计</w:t>
            </w: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460" w:type="dxa"/>
          </w:tcPr>
          <w:p>
            <w:pPr>
              <w:rPr>
                <w:rFonts w:ascii="Times New Roman" w:hAnsi="Times New Roman"/>
              </w:rPr>
            </w:pPr>
          </w:p>
        </w:tc>
        <w:tc>
          <w:tcPr>
            <w:tcW w:w="1744" w:type="dxa"/>
          </w:tcPr>
          <w:p>
            <w:pPr>
              <w:rPr>
                <w:rFonts w:ascii="Times New Roman" w:hAnsi="Times New Roman"/>
              </w:rPr>
            </w:pPr>
          </w:p>
        </w:tc>
      </w:tr>
    </w:tbl>
    <w:p>
      <w:pPr>
        <w:spacing w:line="440" w:lineRule="exact"/>
        <w:rPr>
          <w:rFonts w:ascii="Times New Roman" w:hAnsi="Times New Roman" w:eastAsia="方正仿宋_GBK"/>
          <w:sz w:val="32"/>
          <w:szCs w:val="32"/>
        </w:rPr>
      </w:pPr>
      <w:r>
        <w:rPr>
          <w:rFonts w:hint="eastAsia" w:ascii="Times New Roman"/>
        </w:rPr>
        <w:t>注：每种废物请填写合计量</w:t>
      </w:r>
    </w:p>
    <w:sectPr>
      <w:footerReference r:id="rId4" w:type="default"/>
      <w:pgSz w:w="16838" w:h="11906" w:orient="landscape"/>
      <w:pgMar w:top="1803" w:right="1440" w:bottom="1803" w:left="1440" w:header="708" w:footer="709" w:gutter="0"/>
      <w:cols w:space="0"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宋体"/>
    <w:panose1 w:val="00000000000000000000"/>
    <w:charset w:val="86"/>
    <w:family w:val="script"/>
    <w:pitch w:val="default"/>
    <w:sig w:usb0="00000000" w:usb1="00000000" w:usb2="0000001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p>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CDDD5C"/>
    <w:multiLevelType w:val="singleLevel"/>
    <w:tmpl w:val="49CDDD5C"/>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NotTrackMoves/>
  <w:documentProtection w:enforcement="0"/>
  <w:defaultTabStop w:val="720"/>
  <w:displayHorizontalDrawingGridEvery w:val="1"/>
  <w:displayVerticalDrawingGridEvery w:val="1"/>
  <w:noPunctuationKerning w:val="1"/>
  <w:characterSpacingControl w:val="doNotCompress"/>
  <w:noLineBreaksAfter w:lang="zh-CN" w:val="$([{£¥·‘“〈《「『【〔〖〝﹙﹛﹝＄（．［｛￡￥"/>
  <w:noLineBreaksBefore w:lang="zh-CN" w:val="!%),.:;&gt;?]}¢¨°·ˇˉ―‖’”…‰′″›℃∶、。〃〉》」』】〕〗〞︶︺︾﹀﹄﹚﹜﹞！＂％＇），．：；？］｀｜｝～￠"/>
  <w:footnotePr>
    <w:footnote w:id="0"/>
    <w:footnote w:id="1"/>
  </w:footnotePr>
  <w:compat>
    <w:doNotExpandShiftReturn/>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10AED"/>
    <w:rsid w:val="00011499"/>
    <w:rsid w:val="000229A6"/>
    <w:rsid w:val="00026BBD"/>
    <w:rsid w:val="00075A44"/>
    <w:rsid w:val="000812DF"/>
    <w:rsid w:val="0008390D"/>
    <w:rsid w:val="00093C85"/>
    <w:rsid w:val="000B2ACE"/>
    <w:rsid w:val="000E1E4D"/>
    <w:rsid w:val="000F12B0"/>
    <w:rsid w:val="00102CB8"/>
    <w:rsid w:val="00123965"/>
    <w:rsid w:val="0013663E"/>
    <w:rsid w:val="001649A7"/>
    <w:rsid w:val="0022487A"/>
    <w:rsid w:val="00251B29"/>
    <w:rsid w:val="002641B2"/>
    <w:rsid w:val="002661EE"/>
    <w:rsid w:val="00275EC6"/>
    <w:rsid w:val="00284081"/>
    <w:rsid w:val="0028576A"/>
    <w:rsid w:val="00287FFE"/>
    <w:rsid w:val="002A5B60"/>
    <w:rsid w:val="002B725B"/>
    <w:rsid w:val="0031291B"/>
    <w:rsid w:val="00323B43"/>
    <w:rsid w:val="00324252"/>
    <w:rsid w:val="00330CE7"/>
    <w:rsid w:val="00340658"/>
    <w:rsid w:val="00361D13"/>
    <w:rsid w:val="003660CB"/>
    <w:rsid w:val="0037396B"/>
    <w:rsid w:val="003749DD"/>
    <w:rsid w:val="00395801"/>
    <w:rsid w:val="003D37D8"/>
    <w:rsid w:val="003F285C"/>
    <w:rsid w:val="003F6405"/>
    <w:rsid w:val="00405813"/>
    <w:rsid w:val="00417E57"/>
    <w:rsid w:val="004229A0"/>
    <w:rsid w:val="00426133"/>
    <w:rsid w:val="004358AB"/>
    <w:rsid w:val="00482353"/>
    <w:rsid w:val="004914DE"/>
    <w:rsid w:val="004C2A76"/>
    <w:rsid w:val="004D7670"/>
    <w:rsid w:val="004E469A"/>
    <w:rsid w:val="004E6049"/>
    <w:rsid w:val="0051572C"/>
    <w:rsid w:val="00522E85"/>
    <w:rsid w:val="005238FC"/>
    <w:rsid w:val="00535312"/>
    <w:rsid w:val="00591575"/>
    <w:rsid w:val="005964A7"/>
    <w:rsid w:val="005B0D17"/>
    <w:rsid w:val="005B6B44"/>
    <w:rsid w:val="005F0C40"/>
    <w:rsid w:val="005F331C"/>
    <w:rsid w:val="00634EE7"/>
    <w:rsid w:val="00653AB7"/>
    <w:rsid w:val="006547F6"/>
    <w:rsid w:val="006553F1"/>
    <w:rsid w:val="006837F4"/>
    <w:rsid w:val="006A1D9B"/>
    <w:rsid w:val="006E5C04"/>
    <w:rsid w:val="006E7443"/>
    <w:rsid w:val="006F0ACA"/>
    <w:rsid w:val="006F1350"/>
    <w:rsid w:val="007320A8"/>
    <w:rsid w:val="00772E89"/>
    <w:rsid w:val="00785B4C"/>
    <w:rsid w:val="007A2AF9"/>
    <w:rsid w:val="007B40D0"/>
    <w:rsid w:val="007B7F1A"/>
    <w:rsid w:val="007D0DBA"/>
    <w:rsid w:val="007D23F2"/>
    <w:rsid w:val="007E7391"/>
    <w:rsid w:val="0081077F"/>
    <w:rsid w:val="00834C8D"/>
    <w:rsid w:val="00850D69"/>
    <w:rsid w:val="00874B56"/>
    <w:rsid w:val="0089571C"/>
    <w:rsid w:val="008B2572"/>
    <w:rsid w:val="008B7726"/>
    <w:rsid w:val="008D6E09"/>
    <w:rsid w:val="008F7FA5"/>
    <w:rsid w:val="00916820"/>
    <w:rsid w:val="00920004"/>
    <w:rsid w:val="00941FF1"/>
    <w:rsid w:val="0095743E"/>
    <w:rsid w:val="00977F0A"/>
    <w:rsid w:val="00990035"/>
    <w:rsid w:val="009930AE"/>
    <w:rsid w:val="009A0A73"/>
    <w:rsid w:val="009A7DC1"/>
    <w:rsid w:val="009F2B7B"/>
    <w:rsid w:val="009F6C9A"/>
    <w:rsid w:val="00A03C67"/>
    <w:rsid w:val="00A07274"/>
    <w:rsid w:val="00A10C31"/>
    <w:rsid w:val="00A15087"/>
    <w:rsid w:val="00A314CC"/>
    <w:rsid w:val="00A45AD3"/>
    <w:rsid w:val="00A47476"/>
    <w:rsid w:val="00A50EFD"/>
    <w:rsid w:val="00A734F0"/>
    <w:rsid w:val="00A74197"/>
    <w:rsid w:val="00A809CA"/>
    <w:rsid w:val="00A95AED"/>
    <w:rsid w:val="00AC0BF1"/>
    <w:rsid w:val="00AD0A96"/>
    <w:rsid w:val="00AD3894"/>
    <w:rsid w:val="00AE129B"/>
    <w:rsid w:val="00B01CFD"/>
    <w:rsid w:val="00B12862"/>
    <w:rsid w:val="00B22983"/>
    <w:rsid w:val="00B2427B"/>
    <w:rsid w:val="00B43AF0"/>
    <w:rsid w:val="00B44D10"/>
    <w:rsid w:val="00B65C92"/>
    <w:rsid w:val="00BB3120"/>
    <w:rsid w:val="00BE5688"/>
    <w:rsid w:val="00C462E9"/>
    <w:rsid w:val="00C50414"/>
    <w:rsid w:val="00C50BF9"/>
    <w:rsid w:val="00C914A9"/>
    <w:rsid w:val="00C962C9"/>
    <w:rsid w:val="00CA3651"/>
    <w:rsid w:val="00CA68EF"/>
    <w:rsid w:val="00CA7D7B"/>
    <w:rsid w:val="00CC2D4C"/>
    <w:rsid w:val="00CD3464"/>
    <w:rsid w:val="00D07257"/>
    <w:rsid w:val="00D261A9"/>
    <w:rsid w:val="00D31D50"/>
    <w:rsid w:val="00DA482E"/>
    <w:rsid w:val="00DB16F4"/>
    <w:rsid w:val="00DD171B"/>
    <w:rsid w:val="00DE12D9"/>
    <w:rsid w:val="00DF2445"/>
    <w:rsid w:val="00E5759B"/>
    <w:rsid w:val="00E63817"/>
    <w:rsid w:val="00E64E88"/>
    <w:rsid w:val="00E725F0"/>
    <w:rsid w:val="00E74D28"/>
    <w:rsid w:val="00EA08FB"/>
    <w:rsid w:val="00ED186D"/>
    <w:rsid w:val="00EE3A4A"/>
    <w:rsid w:val="00F7255C"/>
    <w:rsid w:val="00F73C36"/>
    <w:rsid w:val="00FB2FFD"/>
    <w:rsid w:val="00FC71CE"/>
    <w:rsid w:val="00FC783B"/>
    <w:rsid w:val="00FD150B"/>
    <w:rsid w:val="00FD3CB2"/>
    <w:rsid w:val="00FD7434"/>
    <w:rsid w:val="00FF60A3"/>
    <w:rsid w:val="010F450E"/>
    <w:rsid w:val="017B1FAC"/>
    <w:rsid w:val="01F93C3C"/>
    <w:rsid w:val="026A5510"/>
    <w:rsid w:val="037B54AB"/>
    <w:rsid w:val="051C7099"/>
    <w:rsid w:val="084429A8"/>
    <w:rsid w:val="0DDC02D7"/>
    <w:rsid w:val="18290CA4"/>
    <w:rsid w:val="19646832"/>
    <w:rsid w:val="1F2F5FBC"/>
    <w:rsid w:val="229B79C0"/>
    <w:rsid w:val="270D2F8E"/>
    <w:rsid w:val="29CF2CA9"/>
    <w:rsid w:val="2A9546D4"/>
    <w:rsid w:val="2CF5520C"/>
    <w:rsid w:val="33B60688"/>
    <w:rsid w:val="39326AAB"/>
    <w:rsid w:val="41CD0F9A"/>
    <w:rsid w:val="44B621F6"/>
    <w:rsid w:val="44E5741C"/>
    <w:rsid w:val="49CB6F9C"/>
    <w:rsid w:val="4E5C3347"/>
    <w:rsid w:val="51EF5509"/>
    <w:rsid w:val="5B822BA5"/>
    <w:rsid w:val="5D5960BF"/>
    <w:rsid w:val="5DDA09D2"/>
    <w:rsid w:val="5E637A61"/>
    <w:rsid w:val="62D4365B"/>
    <w:rsid w:val="62DA246D"/>
    <w:rsid w:val="6720446F"/>
    <w:rsid w:val="6B403570"/>
    <w:rsid w:val="729710CF"/>
    <w:rsid w:val="76CD4AA7"/>
    <w:rsid w:val="7E6530C2"/>
    <w:rsid w:val="7E922DF8"/>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9"/>
    <w:semiHidden/>
    <w:qFormat/>
    <w:uiPriority w:val="99"/>
    <w:pPr>
      <w:widowControl w:val="0"/>
      <w:adjustRightInd/>
      <w:snapToGrid/>
      <w:spacing w:after="0"/>
      <w:jc w:val="both"/>
    </w:pPr>
    <w:rPr>
      <w:rFonts w:ascii="宋体" w:hAnsi="Courier New" w:eastAsia="宋体"/>
      <w:kern w:val="2"/>
      <w:sz w:val="21"/>
      <w:szCs w:val="21"/>
    </w:rPr>
  </w:style>
  <w:style w:type="paragraph" w:styleId="3">
    <w:name w:val="Balloon Text"/>
    <w:basedOn w:val="1"/>
    <w:link w:val="15"/>
    <w:semiHidden/>
    <w:unhideWhenUsed/>
    <w:qFormat/>
    <w:uiPriority w:val="99"/>
    <w:pPr>
      <w:spacing w:after="0"/>
    </w:pPr>
    <w:rPr>
      <w:sz w:val="18"/>
      <w:szCs w:val="18"/>
    </w:rPr>
  </w:style>
  <w:style w:type="paragraph" w:styleId="4">
    <w:name w:val="footer"/>
    <w:basedOn w:val="1"/>
    <w:link w:val="10"/>
    <w:semiHidden/>
    <w:qFormat/>
    <w:uiPriority w:val="99"/>
    <w:pPr>
      <w:tabs>
        <w:tab w:val="center" w:pos="4153"/>
        <w:tab w:val="right" w:pos="8306"/>
      </w:tabs>
    </w:pPr>
    <w:rPr>
      <w:sz w:val="18"/>
      <w:szCs w:val="18"/>
    </w:rPr>
  </w:style>
  <w:style w:type="paragraph" w:styleId="5">
    <w:name w:val="header"/>
    <w:basedOn w:val="1"/>
    <w:link w:val="11"/>
    <w:semiHidden/>
    <w:qFormat/>
    <w:uiPriority w:val="99"/>
    <w:pPr>
      <w:pBdr>
        <w:bottom w:val="single" w:color="auto" w:sz="6" w:space="1"/>
      </w:pBdr>
      <w:tabs>
        <w:tab w:val="center" w:pos="4153"/>
        <w:tab w:val="right" w:pos="8306"/>
      </w:tabs>
      <w:jc w:val="center"/>
    </w:pPr>
    <w:rPr>
      <w:sz w:val="18"/>
      <w:szCs w:val="18"/>
    </w:rPr>
  </w:style>
  <w:style w:type="character" w:styleId="8">
    <w:name w:val="page number"/>
    <w:basedOn w:val="7"/>
    <w:qFormat/>
    <w:uiPriority w:val="99"/>
    <w:rPr>
      <w:rFonts w:cs="Times New Roman"/>
    </w:rPr>
  </w:style>
  <w:style w:type="character" w:customStyle="1" w:styleId="9">
    <w:name w:val="纯文本 Char"/>
    <w:basedOn w:val="7"/>
    <w:link w:val="2"/>
    <w:semiHidden/>
    <w:qFormat/>
    <w:locked/>
    <w:uiPriority w:val="99"/>
    <w:rPr>
      <w:rFonts w:ascii="宋体" w:hAnsi="Courier New" w:eastAsia="宋体" w:cs="Times New Roman"/>
      <w:kern w:val="2"/>
      <w:sz w:val="21"/>
      <w:szCs w:val="21"/>
    </w:rPr>
  </w:style>
  <w:style w:type="character" w:customStyle="1" w:styleId="10">
    <w:name w:val="页脚 Char"/>
    <w:basedOn w:val="7"/>
    <w:link w:val="4"/>
    <w:semiHidden/>
    <w:qFormat/>
    <w:locked/>
    <w:uiPriority w:val="99"/>
    <w:rPr>
      <w:rFonts w:ascii="Tahoma" w:hAnsi="Tahoma" w:cs="Times New Roman"/>
      <w:sz w:val="18"/>
      <w:szCs w:val="18"/>
    </w:rPr>
  </w:style>
  <w:style w:type="character" w:customStyle="1" w:styleId="11">
    <w:name w:val="页眉 Char"/>
    <w:basedOn w:val="7"/>
    <w:link w:val="5"/>
    <w:semiHidden/>
    <w:qFormat/>
    <w:locked/>
    <w:uiPriority w:val="99"/>
    <w:rPr>
      <w:rFonts w:ascii="Tahoma" w:hAnsi="Tahoma" w:cs="Times New Roman"/>
      <w:sz w:val="18"/>
      <w:szCs w:val="18"/>
    </w:rPr>
  </w:style>
  <w:style w:type="paragraph" w:customStyle="1" w:styleId="12">
    <w:name w:val="默认段落字体 Para Char Char Char1 Char Char Char Char Char Char Char Char Char Char"/>
    <w:basedOn w:val="1"/>
    <w:qFormat/>
    <w:uiPriority w:val="99"/>
    <w:pPr>
      <w:widowControl w:val="0"/>
      <w:adjustRightInd/>
      <w:snapToGrid/>
      <w:spacing w:after="0"/>
      <w:jc w:val="both"/>
    </w:pPr>
    <w:rPr>
      <w:rFonts w:ascii="Times New Roman" w:hAnsi="Times New Roman" w:eastAsia="宋体"/>
      <w:kern w:val="2"/>
      <w:sz w:val="21"/>
      <w:szCs w:val="20"/>
    </w:rPr>
  </w:style>
  <w:style w:type="character" w:customStyle="1" w:styleId="13">
    <w:name w:val="新正文 Char1"/>
    <w:basedOn w:val="7"/>
    <w:link w:val="14"/>
    <w:qFormat/>
    <w:locked/>
    <w:uiPriority w:val="99"/>
    <w:rPr>
      <w:rFonts w:ascii="仿宋_GB2312" w:eastAsia="仿宋_GB2312" w:cs="Times New Roman"/>
      <w:bCs/>
      <w:kern w:val="2"/>
      <w:sz w:val="24"/>
      <w:szCs w:val="24"/>
      <w:lang w:bidi="ar-SA"/>
    </w:rPr>
  </w:style>
  <w:style w:type="paragraph" w:customStyle="1" w:styleId="14">
    <w:name w:val="新正文"/>
    <w:basedOn w:val="1"/>
    <w:link w:val="13"/>
    <w:qFormat/>
    <w:uiPriority w:val="99"/>
    <w:pPr>
      <w:widowControl w:val="0"/>
      <w:adjustRightInd/>
      <w:snapToGrid/>
      <w:spacing w:after="0" w:line="480" w:lineRule="exact"/>
      <w:ind w:firstLine="567"/>
      <w:jc w:val="both"/>
    </w:pPr>
    <w:rPr>
      <w:rFonts w:ascii="仿宋_GB2312" w:hAnsi="Times New Roman" w:eastAsia="仿宋_GB2312"/>
      <w:bCs/>
      <w:kern w:val="2"/>
      <w:sz w:val="28"/>
      <w:szCs w:val="24"/>
    </w:rPr>
  </w:style>
  <w:style w:type="character" w:customStyle="1" w:styleId="15">
    <w:name w:val="批注框文本 Char"/>
    <w:basedOn w:val="7"/>
    <w:link w:val="3"/>
    <w:semiHidden/>
    <w:qFormat/>
    <w:uiPriority w:val="99"/>
    <w:rPr>
      <w:rFonts w:ascii="Tahoma" w:hAnsi="Tahoma" w:eastAsia="微软雅黑"/>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Pages>
  <Words>761</Words>
  <Characters>4343</Characters>
  <Lines>36</Lines>
  <Paragraphs>10</Paragraphs>
  <TotalTime>37</TotalTime>
  <ScaleCrop>false</ScaleCrop>
  <LinksUpToDate>false</LinksUpToDate>
  <CharactersWithSpaces>5094</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张润华</dc:creator>
  <cp:lastModifiedBy>Administrator</cp:lastModifiedBy>
  <cp:lastPrinted>2022-01-04T06:40:19Z</cp:lastPrinted>
  <dcterms:modified xsi:type="dcterms:W3CDTF">2022-01-04T06:54:38Z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D927273A286E4DD49FFCE50EEDA8FD1B</vt:lpwstr>
  </property>
</Properties>
</file>