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bookmarkStart w:id="0" w:name="_GoBack"/>
      <w:r>
        <w:rPr>
          <w:rFonts w:hint="eastAsia"/>
          <w:sz w:val="36"/>
          <w:szCs w:val="36"/>
          <w:lang w:val="en-US" w:eastAsia="zh-CN"/>
        </w:rPr>
        <w:t>省级生态环境保护专项督查部分点位问题整改情况公示一览表</w:t>
      </w:r>
      <w:bookmarkEnd w:id="0"/>
    </w:p>
    <w:tbl>
      <w:tblPr>
        <w:tblStyle w:val="2"/>
        <w:tblW w:w="4954" w:type="pct"/>
        <w:tblInd w:w="2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1"/>
        <w:gridCol w:w="1047"/>
        <w:gridCol w:w="1561"/>
        <w:gridCol w:w="3816"/>
        <w:gridCol w:w="1210"/>
        <w:gridCol w:w="1159"/>
        <w:gridCol w:w="2958"/>
        <w:gridCol w:w="1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2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区域</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点位</w:t>
            </w:r>
          </w:p>
        </w:tc>
        <w:tc>
          <w:tcPr>
            <w:tcW w:w="1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问题描述</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牵头单位</w:t>
            </w: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责任单位</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整改措施</w:t>
            </w:r>
          </w:p>
        </w:tc>
        <w:tc>
          <w:tcPr>
            <w:tcW w:w="5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kern w:val="0"/>
                <w:sz w:val="18"/>
                <w:szCs w:val="18"/>
                <w:lang w:eastAsia="zh-CN"/>
              </w:rPr>
              <w:t>整改完成情况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湟里镇</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snapToGrid w:val="0"/>
                <w:color w:val="000000"/>
                <w:spacing w:val="-6"/>
                <w:kern w:val="0"/>
                <w:sz w:val="18"/>
                <w:szCs w:val="18"/>
                <w:u w:val="none"/>
              </w:rPr>
            </w:pPr>
            <w:r>
              <w:rPr>
                <w:rFonts w:hint="eastAsia" w:ascii="宋体" w:hAnsi="宋体" w:eastAsia="宋体" w:cs="宋体"/>
                <w:i w:val="0"/>
                <w:iCs w:val="0"/>
                <w:snapToGrid w:val="0"/>
                <w:color w:val="000000"/>
                <w:spacing w:val="-6"/>
                <w:kern w:val="0"/>
                <w:sz w:val="18"/>
                <w:szCs w:val="18"/>
                <w:u w:val="none"/>
                <w:lang w:val="en-US" w:eastAsia="zh-CN" w:bidi="ar"/>
              </w:rPr>
              <w:t>常州市新武机械有限公司</w:t>
            </w:r>
          </w:p>
        </w:tc>
        <w:tc>
          <w:tcPr>
            <w:tcW w:w="13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在喷漆房外进行喷漆作业，喷漆废气未收集处理。</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生态环境局</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湟里镇</w:t>
            </w:r>
          </w:p>
        </w:tc>
        <w:tc>
          <w:tcPr>
            <w:tcW w:w="1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对喷漆房进行提升改造。对涉嫌违法问题依法查处。</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24"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4"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湟里镇</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4"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常州市武进长虹结晶器有限公司</w:t>
            </w:r>
          </w:p>
        </w:tc>
        <w:tc>
          <w:tcPr>
            <w:tcW w:w="13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4"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6"/>
                <w:kern w:val="0"/>
                <w:sz w:val="18"/>
                <w:szCs w:val="18"/>
                <w:u w:val="none"/>
                <w:lang w:val="en-US" w:eastAsia="zh-CN" w:bidi="ar"/>
              </w:rPr>
              <w:t>1、该企业有镀镍车间一座、镀铬车间一座，尚未领取排污许可证；2、该企业2020年8月做了固废后评价，废铬酸应委托有资质单位处理，实际该企业自行处置；3、该企业膜处理设施电导率仪器故障，无法正常运行；4、该企业含镍、含铬废水蒸发浓缩后冷凝水合并后排入综合循环水池，未分开设置流量计，浓水进入蒸发结晶釜也未设置流量计。含铬、含镍蒸发浓缩后浓液仍采用同一结晶釜结晶，无蒸发结晶釜清洗记录，蒸发结晶釜台账记录造假；5、该企业重金属废水物化处理过程无运维台账及加药记录；6、危险废物入库台账中蒸发结晶盐未单独记录，混入污泥中一起记录。</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4"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生态环境局</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4"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湟里镇</w:t>
            </w:r>
          </w:p>
        </w:tc>
        <w:tc>
          <w:tcPr>
            <w:tcW w:w="1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4"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1、已完成排污许可证申领。</w:t>
            </w:r>
          </w:p>
          <w:p>
            <w:pPr>
              <w:keepNext w:val="0"/>
              <w:keepLines w:val="0"/>
              <w:pageBreakBefore w:val="0"/>
              <w:widowControl/>
              <w:suppressLineNumbers w:val="0"/>
              <w:kinsoku/>
              <w:wordWrap/>
              <w:overflowPunct/>
              <w:topLinePunct w:val="0"/>
              <w:autoSpaceDE/>
              <w:autoSpaceDN/>
              <w:bidi w:val="0"/>
              <w:adjustRightInd/>
              <w:snapToGrid/>
              <w:spacing w:line="224"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2、委托有资质单位进行废铬酸转移，有转移合同和联单。</w:t>
            </w:r>
          </w:p>
          <w:p>
            <w:pPr>
              <w:keepNext w:val="0"/>
              <w:keepLines w:val="0"/>
              <w:pageBreakBefore w:val="0"/>
              <w:widowControl/>
              <w:suppressLineNumbers w:val="0"/>
              <w:kinsoku/>
              <w:wordWrap/>
              <w:overflowPunct/>
              <w:topLinePunct w:val="0"/>
              <w:autoSpaceDE/>
              <w:autoSpaceDN/>
              <w:bidi w:val="0"/>
              <w:adjustRightInd/>
              <w:snapToGrid/>
              <w:spacing w:line="224"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3、电导率仪器显示屏故障，已完成维修，现正常运行。</w:t>
            </w:r>
          </w:p>
          <w:p>
            <w:pPr>
              <w:keepNext w:val="0"/>
              <w:keepLines w:val="0"/>
              <w:pageBreakBefore w:val="0"/>
              <w:widowControl/>
              <w:suppressLineNumbers w:val="0"/>
              <w:kinsoku/>
              <w:wordWrap/>
              <w:overflowPunct/>
              <w:topLinePunct w:val="0"/>
              <w:autoSpaceDE/>
              <w:autoSpaceDN/>
              <w:bidi w:val="0"/>
              <w:adjustRightInd/>
              <w:snapToGrid/>
              <w:spacing w:line="224"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4、对所有入循环水池的蒸发冷凝水以及膜处理水管道添加流量计；增加结晶釜清洗记录台账。</w:t>
            </w:r>
          </w:p>
          <w:p>
            <w:pPr>
              <w:keepNext w:val="0"/>
              <w:keepLines w:val="0"/>
              <w:pageBreakBefore w:val="0"/>
              <w:widowControl/>
              <w:suppressLineNumbers w:val="0"/>
              <w:kinsoku/>
              <w:wordWrap/>
              <w:overflowPunct/>
              <w:topLinePunct w:val="0"/>
              <w:autoSpaceDE/>
              <w:autoSpaceDN/>
              <w:bidi w:val="0"/>
              <w:adjustRightInd/>
              <w:snapToGrid/>
              <w:spacing w:line="224"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5、对两个重金属废水物化处理池增加运维台账及加药记录。</w:t>
            </w:r>
          </w:p>
          <w:p>
            <w:pPr>
              <w:keepNext w:val="0"/>
              <w:keepLines w:val="0"/>
              <w:pageBreakBefore w:val="0"/>
              <w:widowControl/>
              <w:suppressLineNumbers w:val="0"/>
              <w:kinsoku/>
              <w:wordWrap/>
              <w:overflowPunct/>
              <w:topLinePunct w:val="0"/>
              <w:autoSpaceDE/>
              <w:autoSpaceDN/>
              <w:bidi w:val="0"/>
              <w:adjustRightInd/>
              <w:snapToGrid/>
              <w:spacing w:line="224"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6、对蒸发结晶盐进行单项台账记录。</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4"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湟里镇</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常晨雨钢结构有限公司</w:t>
            </w:r>
          </w:p>
        </w:tc>
        <w:tc>
          <w:tcPr>
            <w:tcW w:w="13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1、存在环境安全风险，光氧设施无泄爆装置，未开展安全评估。2、挥发性有机废气收集不到位，喷漆房密封较差，玻璃破损。</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生态环境局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应急管理局</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湟里镇</w:t>
            </w:r>
          </w:p>
        </w:tc>
        <w:tc>
          <w:tcPr>
            <w:tcW w:w="1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1、对光氧设施加装泄爆装置，并开展安全评估。</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2、对喷漆房进行改造提升。对涉嫌违法行为进一步查处。</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湟里镇</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常州市武进东方除尘设备有限公司</w:t>
            </w:r>
          </w:p>
        </w:tc>
        <w:tc>
          <w:tcPr>
            <w:tcW w:w="13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1、颗粒物收集不到位，焊接、打磨工段无设施，烟尘四溢。2、挥发性有机物收集不到位，检查时正在喷漆，喷漆房无法形成负压。3、存在环境安全隐患，无法提供环保设施安全评估报告。</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生态环境局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应急管理局</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湟里镇</w:t>
            </w:r>
          </w:p>
        </w:tc>
        <w:tc>
          <w:tcPr>
            <w:tcW w:w="1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1、对焊接、打磨工段配备除尘装置。2、对喷漆房进行提升改造。3、督促企业编制环保设施安全评估报告。4、对涉嫌违法行为依法依规查处。</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湟里镇</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常州市湟里圩上制管厂</w:t>
            </w:r>
          </w:p>
        </w:tc>
        <w:tc>
          <w:tcPr>
            <w:tcW w:w="13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现场检查时正在露天搅拌制管，无任何抑尘设施。</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生态环境局</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湟里镇</w:t>
            </w:r>
          </w:p>
        </w:tc>
        <w:tc>
          <w:tcPr>
            <w:tcW w:w="1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1、承诺两个月后关停，仅保留营业执照。2、对涉嫌违法行为进行查处</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湟里镇</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村前路北、湟里河大王庙桥西侧除尘设备厂</w:t>
            </w:r>
          </w:p>
        </w:tc>
        <w:tc>
          <w:tcPr>
            <w:tcW w:w="13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1、存在环境安全风险，环保设施无泄爆装置。2、挥发性有机废气收集不到位，喷漆房未密封，无门，玻璃破损，车间内到处有喷漆痕迹。</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生态环境局</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湟里镇</w:t>
            </w:r>
          </w:p>
        </w:tc>
        <w:tc>
          <w:tcPr>
            <w:tcW w:w="1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拆除喷漆工段，涉嫌违法问题立案查处。</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湟里镇</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常州荣强建材有限公司</w:t>
            </w:r>
          </w:p>
        </w:tc>
        <w:tc>
          <w:tcPr>
            <w:tcW w:w="13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涉嫌偷排废水、盗采河水，该企业位于湟里河边，距省考断面安欢渎桥2.9公里，沿河设有3个排放口，其中2个正在排放，排放口附近芦苇已死亡；设有3个取水口，两个无计量装置。2、扬尘防控不到位，道路积尘严重，物料覆盖不到位，仓库未密封，上料口无抑尘设施。</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生态环境局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水利局</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湟里镇</w:t>
            </w:r>
          </w:p>
        </w:tc>
        <w:tc>
          <w:tcPr>
            <w:tcW w:w="1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1、三个排放口其中两个为农田过水口，另外一个已废弃。</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2、上料口做两道水喷淋，物料覆盖到位，对仓库进行密闭，加强现场管理，洒水抑尘，对场地收集池做好渗漏措施。对涉嫌违法问题进行查处。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局：经现场核实，该企业主要生产预制构件，于2016年办理取水许可证，许可量2万方，实际取用水2020年3487方，全部用于生产用水。因环保扬尘管理要求，企业临时设了两个小取水泵，用于对场地和车辆冲洗。</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湟里镇</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常州市晟安环保科技有限公司</w:t>
            </w:r>
          </w:p>
        </w:tc>
        <w:tc>
          <w:tcPr>
            <w:tcW w:w="13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1、该企业次生危废库内次生危废与接受的危废混存；生产区域用于存放危险废物；</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2、危险废物管理不到位，抽查转移联单显示，有名称为“油墨污泥”的危险废物转入，实际该企业只能接收含油污泥。</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生态环境局</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湟里镇</w:t>
            </w:r>
          </w:p>
        </w:tc>
        <w:tc>
          <w:tcPr>
            <w:tcW w:w="1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1、明确此生危废存放于此生危废仓库中，来料危废贮存在危废仓库中。</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2、清理生产区域现场的危险废物，取消临时堆放区域。</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3、将接收的“油墨污泥”退回原处置公司。</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湟里镇</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江苏东方龙机车集团有限公司</w:t>
            </w:r>
          </w:p>
        </w:tc>
        <w:tc>
          <w:tcPr>
            <w:tcW w:w="13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该企业排污许可制度执行不到位，污水处理设施未建立运维台账，未提交2020年季度及年度执行报告，2021年一季度执行报告；2、该企业熔铝炉采用布袋式除尘器除尘，除尘铝灰尚未签订危险废物贮存协议，尚未纳入危险废物管理；3、该企业机加工产生的含乳化液的铝屑未按照环评及新版危废名录的要求静置压块后熔炼，直接采用输送带输送至铝屑炉熔炼，铝屑熔炼车间内油雾较重；4、该企业2018年3月14日经武进区行政审批局审批的“年产250万件轻量化铝合金轮毂扩能技改项目”尚未完成验收；5、该企业熔铝炉产生的铝渣、铝灰未按照危险废物进行管理，未设置铝渣、铝灰贮存仓库，存在较大安全隐患；6、该企业废水处理设施沉淀池内沉淀渣含量较多，沉淀池运行效果差；7、该企业自行委托监测报告显示熔炼炉颗粒物折算浓度超过《工业炉窑大气污染物排放标准》（DB32/3728-2019）表1规定。</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生态环境局</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应急管理局</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湟里镇</w:t>
            </w:r>
          </w:p>
        </w:tc>
        <w:tc>
          <w:tcPr>
            <w:tcW w:w="1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完成排污许可证执行报告，污水处理设施建立运维台账记录。2、对除尘铝灰进行化验，签订合同。3、用脱水机对铝屑进行乳化液分离后回收利用。4、对“年产250万件轻量化铝合金轮毂扩能技改项目”进行验收。5、签订铝灰、铝渣危废合同，建设贮存场所。6、对废水处理设施进行定期清理，加强日常管理。7、对熔炼炉重新进行监督性监测，根据监测结果进一步处理。8、对涉嫌违法行为依法依规查处。</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34"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34"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湟里镇</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34"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常州金鼎鹏雷电镀有限公司</w:t>
            </w:r>
          </w:p>
        </w:tc>
        <w:tc>
          <w:tcPr>
            <w:tcW w:w="13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34"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1、安全风险辨识与隐患排查报告提出的整改项，尚未完成整改；2、该企业含铬、含镍设施排放口设置有酸碱添加设施，存在干扰在线数据嫌疑；3、该企业电镀废槽液均进入污水处理设施处理，未单独转移。</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34"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生态环境局</w:t>
            </w:r>
          </w:p>
          <w:p>
            <w:pPr>
              <w:keepNext w:val="0"/>
              <w:keepLines w:val="0"/>
              <w:pageBreakBefore w:val="0"/>
              <w:widowControl/>
              <w:suppressLineNumbers w:val="0"/>
              <w:kinsoku/>
              <w:wordWrap/>
              <w:overflowPunct/>
              <w:topLinePunct w:val="0"/>
              <w:autoSpaceDE/>
              <w:autoSpaceDN/>
              <w:bidi w:val="0"/>
              <w:adjustRightInd/>
              <w:snapToGrid/>
              <w:spacing w:line="234"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应急管理局</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34"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湟里镇</w:t>
            </w:r>
          </w:p>
        </w:tc>
        <w:tc>
          <w:tcPr>
            <w:tcW w:w="1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34"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1、已经完成整改。2、已经咨询原设计单位上海轻工业研究所设计工程师，已回复相关解释说明。3、准备相关转移前置手续。4、对涉嫌违法行为依法依规查处。</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34"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34"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11</w:t>
            </w: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34"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湟里镇</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34"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常州市博王板材厂</w:t>
            </w:r>
          </w:p>
        </w:tc>
        <w:tc>
          <w:tcPr>
            <w:tcW w:w="13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34"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1、该企业使用甲基丙烯酸甲酯作为主要原料，年使用量约550吨，甲基丙烯酸甲酯为低闪点危险危险化学品，车间不符合甲类车间标准要求；2、甲基丙烯酸甲酯贮存仓库未按照甲类仓库标准设计建造。</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34"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应急管理局</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34"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湟里镇</w:t>
            </w:r>
          </w:p>
        </w:tc>
        <w:tc>
          <w:tcPr>
            <w:tcW w:w="1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34"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1、要求企业现场存量确保为一昼夜使用量；2、督促企业采取相应的防范措施。</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34"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34"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12</w:t>
            </w: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34"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湟里镇</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34"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常州美邦涂料有限公司</w:t>
            </w:r>
          </w:p>
        </w:tc>
        <w:tc>
          <w:tcPr>
            <w:tcW w:w="13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34"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该企业含铬废水、综合废水、含氰废水经过单独预处理+MVR处理后冷凝水收集池共用一个，含铬废水设施排口在线监测点位存在三通管与综合废水冷凝出水相连，存在稀释在线仪数据嫌疑；2、该企业MVR蒸发器浓缩废液建设三套烘干设施，含铬浓缩液与综合废水浓缩液共用一套烘干设施，该企业未对烘干设施进行清洗，含铬污泥与综合废水污泥不能完全分开。</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34"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生态环境局</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34"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湟里镇</w:t>
            </w:r>
          </w:p>
        </w:tc>
        <w:tc>
          <w:tcPr>
            <w:tcW w:w="1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34"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1、对蒸发器出水管线进行升级改造，并对管线进行标识。2、新增一套烘干设施，三类浓缩液分开处理。</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34"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13</w:t>
            </w: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湟里镇</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马拉兹（江苏）电梯导轨有限公司</w:t>
            </w:r>
          </w:p>
        </w:tc>
        <w:tc>
          <w:tcPr>
            <w:tcW w:w="13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省级环保督察信访件，整改不彻底。1、雨水隔油池隔油设施未定期清理维护；2、企业围墙北侧有白色管道。3、企业有机处理设施未安装泄爆装置、未纳入安全生产管理，未开展安全评估。</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生态环境局</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应急管理局</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湟里镇</w:t>
            </w:r>
          </w:p>
        </w:tc>
        <w:tc>
          <w:tcPr>
            <w:tcW w:w="1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iCs w:val="0"/>
                <w:color w:val="000000"/>
                <w:spacing w:val="-6"/>
                <w:sz w:val="18"/>
                <w:szCs w:val="18"/>
                <w:u w:val="none"/>
              </w:rPr>
            </w:pPr>
            <w:r>
              <w:rPr>
                <w:rFonts w:hint="eastAsia" w:ascii="宋体" w:hAnsi="宋体" w:eastAsia="宋体" w:cs="宋体"/>
                <w:i w:val="0"/>
                <w:iCs w:val="0"/>
                <w:color w:val="000000"/>
                <w:spacing w:val="-6"/>
                <w:kern w:val="0"/>
                <w:sz w:val="18"/>
                <w:szCs w:val="18"/>
                <w:u w:val="none"/>
                <w:lang w:val="en-US" w:eastAsia="zh-CN" w:bidi="ar"/>
              </w:rPr>
              <w:t>1、制定管控措施，加强日常巡查，定期对隔油池底部进行清理。2、拆除白色管道。3、安装泄爆装置、环保设施纳入日常安全管理检查，完成危废仓库和环保设施的安全评估工作。</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14</w:t>
            </w: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湟里镇</w:t>
            </w:r>
          </w:p>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嘉泽镇</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湟里河安欢渎桥</w:t>
            </w:r>
          </w:p>
        </w:tc>
        <w:tc>
          <w:tcPr>
            <w:tcW w:w="13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是紧邻安欢渎桥西北侧的常州嘉宏新型建材有限公司、谈氏特种水产养殖有限公司均有排口正在向湟里河直排废水；二是紧邻安欢渎桥南侧的居民生活污水、小散畜禽养殖粪便直排河道；三是安欢渎桥上游不足400米处，河道北侧一停车场内，废油桶露天堆放，地面油污横流，随着雨水形成地表径流；四是周边有数多小建材加工点，砂石等堆场均未覆盖。</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嘉泽镇政府</w:t>
            </w:r>
          </w:p>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湟里镇政府</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湟里镇</w:t>
            </w:r>
          </w:p>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嘉泽镇</w:t>
            </w:r>
          </w:p>
        </w:tc>
        <w:tc>
          <w:tcPr>
            <w:tcW w:w="1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常州嘉宏新型建材有限公司的对排水口封堵，厂区重新铺设管网，新建沉淀池，污水经沉淀后集中排入市政污水管网；谈氏特种水产养殖有限公司养殖尾水建设污染处理设施，经处理后排入附近生态池塘，不再直排入湟里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2、新建三格式化粪池将安欢渎桥南侧居民生活污水接入其中，用作农肥。</w:t>
            </w:r>
          </w:p>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3、对现场废油桶及地面油污进行清理。</w:t>
            </w:r>
          </w:p>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4、对周边建材砂石等堆场进行覆盖。</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湟里镇</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新孟河S239省道桥断面</w:t>
            </w:r>
          </w:p>
        </w:tc>
        <w:tc>
          <w:tcPr>
            <w:tcW w:w="13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2月，省驻常州市监测中心针对新孟河省考S239省道桥断面水质超标问题开展排查，并将发现的断面附近排污问题作了通报，但督察发现，武进区弄虚作假，将伸入河道的2个明管一截了之，改为暗管，并覆盖绿植掩人耳目，现场对排放污水采样监测，氨氮分别为40.8mg/L、10.8mg/L，总磷分别为4.17mg/L、0.74mg/L；断面东南侧的虾塘渗水仍在排放，CODcr为54mg/L，清水通道变成“纳污沟”。</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湟里镇</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湟里镇</w:t>
            </w:r>
          </w:p>
        </w:tc>
        <w:tc>
          <w:tcPr>
            <w:tcW w:w="1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1、新建一套生活污水处理站用于处理周边居民生活污水。</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2、对周边村庄进行雨污分流；督促企业完成厂区内雨污分流。</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3、对雨水排放口沟渠进行改建，新建沟渠约500米。</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34"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34"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湟里镇</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34"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常州东方特钢有限公司</w:t>
            </w:r>
          </w:p>
        </w:tc>
        <w:tc>
          <w:tcPr>
            <w:tcW w:w="13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34"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于2018年实施烧结机超低排放改造，目前尚未验收。十三五期间能源消费结构偏重，2020年耗煤量比2016年大幅增长。2016年耗煤量21.2217万吨，2020年耗煤量49.4326万吨。企业实际耗煤量与统计条线数据不一致，东方特钢2020年实际耗煤量43.2422万吨。</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34"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生态环境局</w:t>
            </w:r>
          </w:p>
          <w:p>
            <w:pPr>
              <w:keepNext w:val="0"/>
              <w:keepLines w:val="0"/>
              <w:pageBreakBefore w:val="0"/>
              <w:widowControl/>
              <w:suppressLineNumbers w:val="0"/>
              <w:kinsoku/>
              <w:wordWrap/>
              <w:overflowPunct/>
              <w:topLinePunct w:val="0"/>
              <w:autoSpaceDE/>
              <w:autoSpaceDN/>
              <w:bidi w:val="0"/>
              <w:adjustRightInd/>
              <w:snapToGrid/>
              <w:spacing w:line="234"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发改局</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34"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湟里镇</w:t>
            </w:r>
          </w:p>
        </w:tc>
        <w:tc>
          <w:tcPr>
            <w:tcW w:w="1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34"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烧结机超低排放验收已完成2、2020年，市发改委根据省发改委文件要求，对2020年度非电行业规上工业企业减煤目标任务进行了两次优化调整，坚持以煤炭清洁高效利用为导向，既满足企业合理用煤需求，又实现精准减煤，有保有压,最终确定东方特钢用煤量上限核定为49.43万吨，达到既定目标。</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34"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17</w:t>
            </w: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嘉泽镇</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湟里河安欢渎桥南北两侧混凝土预制件加工点</w:t>
            </w:r>
          </w:p>
        </w:tc>
        <w:tc>
          <w:tcPr>
            <w:tcW w:w="13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存在问题：湟里河安欢渎桥南北两侧存在约6家混凝土预制件加工点，砂石等物料均未覆盖，混凝土搅拌加料过程扬尘较大。</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住建局</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嘉泽镇、湟里镇</w:t>
            </w:r>
          </w:p>
        </w:tc>
        <w:tc>
          <w:tcPr>
            <w:tcW w:w="1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1、对物料进行覆盖，遮挡。2、加强洒水采取降尘措施。3、加强监管，巡查。4、督促嘉宏建材公司生产车间加强密闭管理，物料堆场及时覆盖处理 。</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已完成</w:t>
            </w:r>
          </w:p>
        </w:tc>
      </w:tr>
    </w:tbl>
    <w:p>
      <w:pPr>
        <w:jc w:val="center"/>
        <w:rPr>
          <w:rFonts w:hint="eastAsia"/>
          <w:sz w:val="36"/>
          <w:szCs w:val="36"/>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9C10B0"/>
    <w:multiLevelType w:val="singleLevel"/>
    <w:tmpl w:val="319C10B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BC6FF7"/>
    <w:rsid w:val="22B440FE"/>
    <w:rsid w:val="277B1640"/>
    <w:rsid w:val="2E373281"/>
    <w:rsid w:val="32B26CB5"/>
    <w:rsid w:val="41FA6E78"/>
    <w:rsid w:val="42754740"/>
    <w:rsid w:val="48352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2021-12-28T01:00:00Z</dcterms:created>
  <dc:creator>Administrator</dc:creator>
  <cp:lastModifiedBy>昔年☘未凉</cp:lastModifiedBy>
  <dcterms:modified xsi:type="dcterms:W3CDTF">2021-12-28T02:04:23Z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3B4102223F04487EBEC6F0F2D2AFE0B6</vt:lpwstr>
  </property>
</Properties>
</file>