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8E" w:rsidRDefault="0074438E">
      <w:pPr>
        <w:overflowPunct w:val="0"/>
        <w:autoSpaceDE w:val="0"/>
        <w:autoSpaceDN w:val="0"/>
        <w:adjustRightInd w:val="0"/>
        <w:snapToGrid w:val="0"/>
        <w:spacing w:line="560" w:lineRule="exact"/>
        <w:jc w:val="left"/>
        <w:rPr>
          <w:rFonts w:eastAsia="黑体" w:cs="黑体"/>
          <w:snapToGrid w:val="0"/>
          <w:color w:val="000000"/>
          <w:kern w:val="0"/>
          <w:sz w:val="32"/>
          <w:szCs w:val="32"/>
        </w:rPr>
      </w:pPr>
      <w:r>
        <w:rPr>
          <w:rFonts w:eastAsia="黑体" w:cs="黑体" w:hint="eastAsia"/>
          <w:snapToGrid w:val="0"/>
          <w:color w:val="000000"/>
          <w:kern w:val="0"/>
          <w:sz w:val="32"/>
          <w:szCs w:val="32"/>
        </w:rPr>
        <w:t>附件</w:t>
      </w:r>
      <w:r>
        <w:rPr>
          <w:rFonts w:eastAsia="黑体" w:cs="黑体"/>
          <w:snapToGrid w:val="0"/>
          <w:color w:val="000000"/>
          <w:kern w:val="0"/>
          <w:sz w:val="32"/>
          <w:szCs w:val="32"/>
        </w:rPr>
        <w:t>1</w:t>
      </w:r>
    </w:p>
    <w:p w:rsidR="0074438E" w:rsidRDefault="0074438E">
      <w:pPr>
        <w:overflowPunct w:val="0"/>
        <w:autoSpaceDE w:val="0"/>
        <w:autoSpaceDN w:val="0"/>
        <w:adjustRightInd w:val="0"/>
        <w:snapToGrid w:val="0"/>
        <w:spacing w:line="560" w:lineRule="exact"/>
        <w:jc w:val="center"/>
        <w:rPr>
          <w:rFonts w:ascii="方正小标宋简体" w:eastAsia="方正小标宋简体" w:hAnsi="方正小标宋简体" w:cs="方正小标宋简体"/>
          <w:snapToGrid w:val="0"/>
          <w:color w:val="000000"/>
          <w:kern w:val="0"/>
          <w:sz w:val="36"/>
          <w:szCs w:val="36"/>
        </w:rPr>
      </w:pPr>
      <w:r>
        <w:rPr>
          <w:rFonts w:ascii="方正小标宋简体" w:eastAsia="方正小标宋简体" w:hAnsi="方正小标宋简体" w:cs="方正小标宋简体" w:hint="eastAsia"/>
          <w:snapToGrid w:val="0"/>
          <w:color w:val="000000"/>
          <w:kern w:val="0"/>
          <w:sz w:val="36"/>
          <w:szCs w:val="36"/>
        </w:rPr>
        <w:t>深化武进安全生产专项整治帮助指导解决的突出问题清单</w:t>
      </w:r>
    </w:p>
    <w:p w:rsidR="0074438E" w:rsidRDefault="0074438E">
      <w:pPr>
        <w:overflowPunct w:val="0"/>
        <w:autoSpaceDE w:val="0"/>
        <w:autoSpaceDN w:val="0"/>
        <w:adjustRightInd w:val="0"/>
        <w:snapToGrid w:val="0"/>
        <w:spacing w:line="560" w:lineRule="exact"/>
        <w:jc w:val="center"/>
        <w:rPr>
          <w:rFonts w:eastAsia="方正小标宋_GBK"/>
          <w:snapToGrid w:val="0"/>
          <w:color w:val="000000"/>
          <w:kern w:val="0"/>
          <w:sz w:val="44"/>
          <w:szCs w:val="44"/>
        </w:rPr>
      </w:pPr>
    </w:p>
    <w:tbl>
      <w:tblPr>
        <w:tblW w:w="5116" w:type="pct"/>
        <w:tblInd w:w="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1352"/>
        <w:gridCol w:w="1934"/>
        <w:gridCol w:w="6173"/>
        <w:gridCol w:w="1673"/>
        <w:gridCol w:w="1322"/>
      </w:tblGrid>
      <w:tr w:rsidR="0074438E">
        <w:trPr>
          <w:trHeight w:val="567"/>
          <w:tblHeader/>
        </w:trPr>
        <w:tc>
          <w:tcPr>
            <w:tcW w:w="308" w:type="pct"/>
            <w:vAlign w:val="center"/>
          </w:tcPr>
          <w:p w:rsidR="0074438E" w:rsidRDefault="0074438E">
            <w:pPr>
              <w:overflowPunct w:val="0"/>
              <w:autoSpaceDE w:val="0"/>
              <w:autoSpaceDN w:val="0"/>
              <w:adjustRightInd w:val="0"/>
              <w:snapToGrid w:val="0"/>
              <w:spacing w:line="300" w:lineRule="exact"/>
              <w:jc w:val="center"/>
              <w:rPr>
                <w:rFonts w:eastAsia="黑体"/>
                <w:snapToGrid w:val="0"/>
                <w:color w:val="000000"/>
                <w:kern w:val="0"/>
                <w:szCs w:val="21"/>
              </w:rPr>
            </w:pPr>
            <w:r>
              <w:rPr>
                <w:rFonts w:eastAsia="黑体" w:hint="eastAsia"/>
                <w:snapToGrid w:val="0"/>
                <w:color w:val="000000"/>
                <w:kern w:val="0"/>
                <w:szCs w:val="21"/>
              </w:rPr>
              <w:t>序号</w:t>
            </w:r>
          </w:p>
        </w:tc>
        <w:tc>
          <w:tcPr>
            <w:tcW w:w="1237" w:type="pct"/>
            <w:gridSpan w:val="2"/>
            <w:vAlign w:val="center"/>
          </w:tcPr>
          <w:p w:rsidR="0074438E" w:rsidRDefault="0074438E">
            <w:pPr>
              <w:overflowPunct w:val="0"/>
              <w:autoSpaceDE w:val="0"/>
              <w:autoSpaceDN w:val="0"/>
              <w:adjustRightInd w:val="0"/>
              <w:snapToGrid w:val="0"/>
              <w:spacing w:line="300" w:lineRule="exact"/>
              <w:jc w:val="center"/>
              <w:rPr>
                <w:rFonts w:eastAsia="黑体"/>
                <w:snapToGrid w:val="0"/>
                <w:color w:val="000000"/>
                <w:kern w:val="0"/>
                <w:szCs w:val="21"/>
              </w:rPr>
            </w:pPr>
            <w:r>
              <w:rPr>
                <w:rFonts w:eastAsia="黑体" w:hint="eastAsia"/>
                <w:snapToGrid w:val="0"/>
                <w:color w:val="000000"/>
                <w:kern w:val="0"/>
                <w:szCs w:val="21"/>
              </w:rPr>
              <w:t>突出问题</w:t>
            </w:r>
          </w:p>
        </w:tc>
        <w:tc>
          <w:tcPr>
            <w:tcW w:w="2324" w:type="pct"/>
            <w:vAlign w:val="center"/>
          </w:tcPr>
          <w:p w:rsidR="0074438E" w:rsidRDefault="0074438E">
            <w:pPr>
              <w:overflowPunct w:val="0"/>
              <w:autoSpaceDE w:val="0"/>
              <w:autoSpaceDN w:val="0"/>
              <w:adjustRightInd w:val="0"/>
              <w:snapToGrid w:val="0"/>
              <w:spacing w:line="300" w:lineRule="exact"/>
              <w:jc w:val="center"/>
              <w:rPr>
                <w:rFonts w:eastAsia="黑体"/>
                <w:snapToGrid w:val="0"/>
                <w:color w:val="000000"/>
                <w:kern w:val="0"/>
                <w:szCs w:val="21"/>
              </w:rPr>
            </w:pPr>
            <w:r>
              <w:rPr>
                <w:rFonts w:eastAsia="黑体" w:hint="eastAsia"/>
                <w:snapToGrid w:val="0"/>
                <w:color w:val="000000"/>
                <w:kern w:val="0"/>
                <w:szCs w:val="21"/>
              </w:rPr>
              <w:t>整改措施</w:t>
            </w:r>
          </w:p>
        </w:tc>
        <w:tc>
          <w:tcPr>
            <w:tcW w:w="630" w:type="pct"/>
            <w:vAlign w:val="center"/>
          </w:tcPr>
          <w:p w:rsidR="0074438E" w:rsidRDefault="0074438E">
            <w:pPr>
              <w:overflowPunct w:val="0"/>
              <w:autoSpaceDE w:val="0"/>
              <w:autoSpaceDN w:val="0"/>
              <w:adjustRightInd w:val="0"/>
              <w:snapToGrid w:val="0"/>
              <w:spacing w:line="300" w:lineRule="exact"/>
              <w:jc w:val="center"/>
              <w:rPr>
                <w:rFonts w:eastAsia="黑体"/>
                <w:snapToGrid w:val="0"/>
                <w:color w:val="000000"/>
                <w:kern w:val="0"/>
                <w:szCs w:val="21"/>
              </w:rPr>
            </w:pPr>
            <w:r>
              <w:rPr>
                <w:rFonts w:eastAsia="黑体" w:hint="eastAsia"/>
                <w:snapToGrid w:val="0"/>
                <w:color w:val="000000"/>
                <w:kern w:val="0"/>
                <w:szCs w:val="21"/>
              </w:rPr>
              <w:t>责任单位</w:t>
            </w:r>
          </w:p>
        </w:tc>
        <w:tc>
          <w:tcPr>
            <w:tcW w:w="498" w:type="pct"/>
            <w:vAlign w:val="center"/>
          </w:tcPr>
          <w:p w:rsidR="0074438E" w:rsidRDefault="0074438E">
            <w:pPr>
              <w:overflowPunct w:val="0"/>
              <w:autoSpaceDE w:val="0"/>
              <w:autoSpaceDN w:val="0"/>
              <w:adjustRightInd w:val="0"/>
              <w:snapToGrid w:val="0"/>
              <w:spacing w:line="300" w:lineRule="exact"/>
              <w:jc w:val="center"/>
              <w:rPr>
                <w:rFonts w:eastAsia="黑体"/>
                <w:snapToGrid w:val="0"/>
                <w:color w:val="000000"/>
                <w:kern w:val="0"/>
                <w:szCs w:val="21"/>
              </w:rPr>
            </w:pPr>
            <w:r>
              <w:rPr>
                <w:rFonts w:eastAsia="黑体" w:hint="eastAsia"/>
                <w:snapToGrid w:val="0"/>
                <w:color w:val="000000"/>
                <w:kern w:val="0"/>
                <w:szCs w:val="21"/>
              </w:rPr>
              <w:t>完成时限</w:t>
            </w:r>
          </w:p>
        </w:tc>
      </w:tr>
      <w:tr w:rsidR="0074438E">
        <w:trPr>
          <w:trHeight w:val="2690"/>
        </w:trPr>
        <w:tc>
          <w:tcPr>
            <w:tcW w:w="308" w:type="pct"/>
            <w:vAlign w:val="center"/>
          </w:tcPr>
          <w:p w:rsidR="0074438E" w:rsidRDefault="0074438E">
            <w:pPr>
              <w:overflowPunct w:val="0"/>
              <w:autoSpaceDE w:val="0"/>
              <w:autoSpaceDN w:val="0"/>
              <w:adjustRightInd w:val="0"/>
              <w:snapToGrid w:val="0"/>
              <w:spacing w:line="300" w:lineRule="exact"/>
              <w:jc w:val="center"/>
              <w:rPr>
                <w:snapToGrid w:val="0"/>
                <w:color w:val="000000"/>
                <w:kern w:val="0"/>
                <w:szCs w:val="21"/>
              </w:rPr>
            </w:pPr>
            <w:r>
              <w:rPr>
                <w:rFonts w:hint="eastAsia"/>
                <w:snapToGrid w:val="0"/>
                <w:color w:val="000000"/>
                <w:kern w:val="0"/>
                <w:szCs w:val="21"/>
              </w:rPr>
              <w:t>一</w:t>
            </w:r>
          </w:p>
        </w:tc>
        <w:tc>
          <w:tcPr>
            <w:tcW w:w="509"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在树牢安全发展理念上存在的问题。</w:t>
            </w:r>
          </w:p>
        </w:tc>
        <w:tc>
          <w:tcPr>
            <w:tcW w:w="727"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重点是安全发展理念不牢固、基层落实有差距，一些地方红线意识不强，思想认识转变还不够彻底，还没有真正把保护人民群众生命安全放在第一位。</w:t>
            </w:r>
          </w:p>
        </w:tc>
        <w:tc>
          <w:tcPr>
            <w:tcW w:w="2324"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一是将习近平总书记关于安全生产重要论述纳入党校和社会主义学院培训内容，开展区（镇）书记和区（镇）长说安全活动。</w:t>
            </w:r>
          </w:p>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二是在武进电视台、武进日报等主流媒体开办安全生产专项整治专栏专题，用好</w:t>
            </w:r>
            <w:r>
              <w:rPr>
                <w:snapToGrid w:val="0"/>
                <w:color w:val="000000"/>
                <w:kern w:val="0"/>
                <w:szCs w:val="21"/>
              </w:rPr>
              <w:t>“</w:t>
            </w:r>
            <w:r>
              <w:rPr>
                <w:rFonts w:hint="eastAsia"/>
                <w:snapToGrid w:val="0"/>
                <w:color w:val="000000"/>
                <w:kern w:val="0"/>
                <w:szCs w:val="21"/>
              </w:rPr>
              <w:t>学重要论述，促安全发展</w:t>
            </w:r>
            <w:r>
              <w:rPr>
                <w:snapToGrid w:val="0"/>
                <w:color w:val="000000"/>
                <w:kern w:val="0"/>
                <w:szCs w:val="21"/>
              </w:rPr>
              <w:t>”</w:t>
            </w:r>
            <w:r>
              <w:rPr>
                <w:rFonts w:hint="eastAsia"/>
                <w:snapToGrid w:val="0"/>
                <w:color w:val="000000"/>
                <w:kern w:val="0"/>
                <w:szCs w:val="21"/>
              </w:rPr>
              <w:t>网络学习平台。</w:t>
            </w:r>
          </w:p>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三是将</w:t>
            </w:r>
            <w:r>
              <w:rPr>
                <w:snapToGrid w:val="0"/>
                <w:color w:val="000000"/>
                <w:kern w:val="0"/>
                <w:szCs w:val="21"/>
              </w:rPr>
              <w:t>“</w:t>
            </w:r>
            <w:r>
              <w:rPr>
                <w:rFonts w:hint="eastAsia"/>
                <w:snapToGrid w:val="0"/>
                <w:color w:val="000000"/>
                <w:kern w:val="0"/>
                <w:szCs w:val="21"/>
              </w:rPr>
              <w:t>百团进百万企业</w:t>
            </w:r>
            <w:r>
              <w:rPr>
                <w:snapToGrid w:val="0"/>
                <w:color w:val="000000"/>
                <w:kern w:val="0"/>
                <w:szCs w:val="21"/>
              </w:rPr>
              <w:t>”</w:t>
            </w:r>
            <w:r>
              <w:rPr>
                <w:rFonts w:hint="eastAsia"/>
                <w:snapToGrid w:val="0"/>
                <w:color w:val="000000"/>
                <w:kern w:val="0"/>
                <w:szCs w:val="21"/>
              </w:rPr>
              <w:t>学习宣讲拓展为</w:t>
            </w:r>
            <w:r>
              <w:rPr>
                <w:snapToGrid w:val="0"/>
                <w:color w:val="000000"/>
                <w:kern w:val="0"/>
                <w:szCs w:val="21"/>
              </w:rPr>
              <w:t>“</w:t>
            </w:r>
            <w:r>
              <w:rPr>
                <w:rFonts w:hint="eastAsia"/>
                <w:snapToGrid w:val="0"/>
                <w:color w:val="000000"/>
                <w:kern w:val="0"/>
                <w:szCs w:val="21"/>
              </w:rPr>
              <w:t>百团进百万企业千万员工</w:t>
            </w:r>
            <w:r>
              <w:rPr>
                <w:snapToGrid w:val="0"/>
                <w:color w:val="000000"/>
                <w:kern w:val="0"/>
                <w:szCs w:val="21"/>
              </w:rPr>
              <w:t>”</w:t>
            </w:r>
            <w:r>
              <w:rPr>
                <w:rFonts w:hint="eastAsia"/>
                <w:snapToGrid w:val="0"/>
                <w:color w:val="000000"/>
                <w:kern w:val="0"/>
                <w:szCs w:val="21"/>
              </w:rPr>
              <w:t>，推动新发展理念进一步落实到各级党政领导干部，落实到基层、企业和一线员工。</w:t>
            </w:r>
          </w:p>
        </w:tc>
        <w:tc>
          <w:tcPr>
            <w:tcW w:w="630"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区委宣传部、区安委办牵头，区安委会各相关成员单位按职责分工落实</w:t>
            </w:r>
          </w:p>
        </w:tc>
        <w:tc>
          <w:tcPr>
            <w:tcW w:w="498" w:type="pct"/>
            <w:vAlign w:val="center"/>
          </w:tcPr>
          <w:p w:rsidR="0074438E" w:rsidRDefault="0074438E">
            <w:pPr>
              <w:overflowPunct w:val="0"/>
              <w:autoSpaceDE w:val="0"/>
              <w:autoSpaceDN w:val="0"/>
              <w:adjustRightInd w:val="0"/>
              <w:snapToGrid w:val="0"/>
              <w:spacing w:line="300" w:lineRule="exact"/>
              <w:jc w:val="center"/>
              <w:rPr>
                <w:snapToGrid w:val="0"/>
                <w:color w:val="000000"/>
                <w:kern w:val="0"/>
                <w:szCs w:val="21"/>
              </w:rPr>
            </w:pPr>
            <w:r>
              <w:rPr>
                <w:snapToGrid w:val="0"/>
                <w:color w:val="000000"/>
                <w:kern w:val="0"/>
                <w:szCs w:val="21"/>
              </w:rPr>
              <w:t>2021</w:t>
            </w:r>
            <w:r>
              <w:rPr>
                <w:rFonts w:hint="eastAsia"/>
                <w:snapToGrid w:val="0"/>
                <w:color w:val="000000"/>
                <w:kern w:val="0"/>
                <w:szCs w:val="21"/>
              </w:rPr>
              <w:t>年底</w:t>
            </w:r>
          </w:p>
        </w:tc>
      </w:tr>
      <w:tr w:rsidR="0074438E">
        <w:trPr>
          <w:trHeight w:val="2956"/>
        </w:trPr>
        <w:tc>
          <w:tcPr>
            <w:tcW w:w="308" w:type="pct"/>
            <w:vAlign w:val="center"/>
          </w:tcPr>
          <w:p w:rsidR="0074438E" w:rsidRDefault="0074438E">
            <w:pPr>
              <w:overflowPunct w:val="0"/>
              <w:autoSpaceDE w:val="0"/>
              <w:autoSpaceDN w:val="0"/>
              <w:adjustRightInd w:val="0"/>
              <w:snapToGrid w:val="0"/>
              <w:spacing w:line="300" w:lineRule="exact"/>
              <w:jc w:val="center"/>
              <w:rPr>
                <w:snapToGrid w:val="0"/>
                <w:color w:val="000000"/>
                <w:kern w:val="0"/>
                <w:szCs w:val="21"/>
              </w:rPr>
            </w:pPr>
            <w:r>
              <w:rPr>
                <w:rFonts w:hint="eastAsia"/>
                <w:snapToGrid w:val="0"/>
                <w:color w:val="000000"/>
                <w:kern w:val="0"/>
                <w:szCs w:val="21"/>
              </w:rPr>
              <w:t>二</w:t>
            </w:r>
          </w:p>
        </w:tc>
        <w:tc>
          <w:tcPr>
            <w:tcW w:w="509"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在安全隐患排查整改上不够深入的问题。</w:t>
            </w:r>
          </w:p>
        </w:tc>
        <w:tc>
          <w:tcPr>
            <w:tcW w:w="727"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重点是一些突出问题、重大事故隐患整改不到位，有的甚至还停留在评估论证阶段，长期积累的结构性风险尚未根本改变；一些新情况、新问题还存在监管盲区漏洞，有的甚至游离于监管之外。</w:t>
            </w:r>
          </w:p>
        </w:tc>
        <w:tc>
          <w:tcPr>
            <w:tcW w:w="2324"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一是围绕从根本上消除事故隐患，持续盯紧化工和危险化学品、危废处置、道路交通、水上交通、建筑施工、消防等重点行业领域，深入排查治理危险化学品生产、运输、使用、储存等环节重大安全风险，持续推进</w:t>
            </w:r>
            <w:r>
              <w:rPr>
                <w:snapToGrid w:val="0"/>
                <w:color w:val="000000"/>
                <w:kern w:val="0"/>
                <w:szCs w:val="21"/>
              </w:rPr>
              <w:t>“</w:t>
            </w:r>
            <w:r>
              <w:rPr>
                <w:rFonts w:hint="eastAsia"/>
                <w:snapToGrid w:val="0"/>
                <w:color w:val="000000"/>
                <w:kern w:val="0"/>
                <w:szCs w:val="21"/>
              </w:rPr>
              <w:t>百吨王</w:t>
            </w:r>
            <w:r>
              <w:rPr>
                <w:snapToGrid w:val="0"/>
                <w:color w:val="000000"/>
                <w:kern w:val="0"/>
                <w:szCs w:val="21"/>
              </w:rPr>
              <w:t>”</w:t>
            </w:r>
            <w:r>
              <w:rPr>
                <w:rFonts w:hint="eastAsia"/>
                <w:snapToGrid w:val="0"/>
                <w:color w:val="000000"/>
                <w:kern w:val="0"/>
                <w:szCs w:val="21"/>
              </w:rPr>
              <w:t>、农村货车违法载人行为等重大隐患问题整治，特别对国务院督导组、省督导组移交的重大安全风险清单中整改清零的盯住不放，防止死灰复燃，对持续推进整改的，纳入</w:t>
            </w:r>
            <w:r>
              <w:rPr>
                <w:snapToGrid w:val="0"/>
                <w:color w:val="000000"/>
                <w:kern w:val="0"/>
                <w:szCs w:val="21"/>
              </w:rPr>
              <w:t>“</w:t>
            </w:r>
            <w:r>
              <w:rPr>
                <w:rFonts w:hint="eastAsia"/>
                <w:snapToGrid w:val="0"/>
                <w:color w:val="000000"/>
                <w:kern w:val="0"/>
                <w:szCs w:val="21"/>
              </w:rPr>
              <w:t>大灶</w:t>
            </w:r>
            <w:r>
              <w:rPr>
                <w:snapToGrid w:val="0"/>
                <w:color w:val="000000"/>
                <w:kern w:val="0"/>
                <w:szCs w:val="21"/>
              </w:rPr>
              <w:t>”</w:t>
            </w:r>
            <w:r>
              <w:rPr>
                <w:rFonts w:hint="eastAsia"/>
                <w:snapToGrid w:val="0"/>
                <w:color w:val="000000"/>
                <w:kern w:val="0"/>
                <w:szCs w:val="21"/>
              </w:rPr>
              <w:t>全面抓好整改落实。</w:t>
            </w:r>
          </w:p>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二是高度警惕新业态、新技术、新形势带来的苗头性问题，</w:t>
            </w:r>
            <w:r>
              <w:rPr>
                <w:snapToGrid w:val="0"/>
                <w:color w:val="000000"/>
                <w:kern w:val="0"/>
                <w:szCs w:val="21"/>
              </w:rPr>
              <w:t>“</w:t>
            </w:r>
            <w:r>
              <w:rPr>
                <w:rFonts w:hint="eastAsia"/>
                <w:snapToGrid w:val="0"/>
                <w:color w:val="000000"/>
                <w:kern w:val="0"/>
                <w:szCs w:val="21"/>
              </w:rPr>
              <w:t>主动上前一步</w:t>
            </w:r>
            <w:r>
              <w:rPr>
                <w:snapToGrid w:val="0"/>
                <w:color w:val="000000"/>
                <w:kern w:val="0"/>
                <w:szCs w:val="21"/>
              </w:rPr>
              <w:t>”</w:t>
            </w:r>
            <w:r>
              <w:rPr>
                <w:rFonts w:hint="eastAsia"/>
                <w:snapToGrid w:val="0"/>
                <w:color w:val="000000"/>
                <w:kern w:val="0"/>
                <w:szCs w:val="21"/>
              </w:rPr>
              <w:t>纳入监管；加强改革政策的安全评估，同步配套事中事后监管措施，及时加强指导服务，防止漏管失控引发事故。</w:t>
            </w:r>
          </w:p>
        </w:tc>
        <w:tc>
          <w:tcPr>
            <w:tcW w:w="630"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区安委办牵头，区发改局、工信局、常州市公安局武进分局、住建局、交通运输局、农业农村局、应急管理局、武进生态环境局、消防救援大队等相关部门按职责分工落实</w:t>
            </w:r>
          </w:p>
        </w:tc>
        <w:tc>
          <w:tcPr>
            <w:tcW w:w="498" w:type="pct"/>
            <w:vAlign w:val="center"/>
          </w:tcPr>
          <w:p w:rsidR="0074438E" w:rsidRDefault="0074438E">
            <w:pPr>
              <w:overflowPunct w:val="0"/>
              <w:autoSpaceDE w:val="0"/>
              <w:autoSpaceDN w:val="0"/>
              <w:adjustRightInd w:val="0"/>
              <w:snapToGrid w:val="0"/>
              <w:spacing w:line="300" w:lineRule="exact"/>
              <w:jc w:val="center"/>
              <w:rPr>
                <w:snapToGrid w:val="0"/>
                <w:color w:val="000000"/>
                <w:kern w:val="0"/>
                <w:szCs w:val="21"/>
              </w:rPr>
            </w:pPr>
            <w:r>
              <w:rPr>
                <w:snapToGrid w:val="0"/>
                <w:color w:val="000000"/>
                <w:kern w:val="0"/>
                <w:szCs w:val="21"/>
              </w:rPr>
              <w:t>2021</w:t>
            </w:r>
            <w:r>
              <w:rPr>
                <w:rFonts w:hint="eastAsia"/>
                <w:snapToGrid w:val="0"/>
                <w:color w:val="000000"/>
                <w:kern w:val="0"/>
                <w:szCs w:val="21"/>
              </w:rPr>
              <w:t>年底</w:t>
            </w:r>
          </w:p>
        </w:tc>
      </w:tr>
      <w:tr w:rsidR="0074438E">
        <w:trPr>
          <w:trHeight w:val="4650"/>
        </w:trPr>
        <w:tc>
          <w:tcPr>
            <w:tcW w:w="308" w:type="pct"/>
            <w:vAlign w:val="center"/>
          </w:tcPr>
          <w:p w:rsidR="0074438E" w:rsidRDefault="0074438E">
            <w:pPr>
              <w:overflowPunct w:val="0"/>
              <w:autoSpaceDE w:val="0"/>
              <w:autoSpaceDN w:val="0"/>
              <w:adjustRightInd w:val="0"/>
              <w:snapToGrid w:val="0"/>
              <w:spacing w:line="300" w:lineRule="exact"/>
              <w:jc w:val="center"/>
              <w:rPr>
                <w:snapToGrid w:val="0"/>
                <w:color w:val="000000"/>
                <w:kern w:val="0"/>
                <w:szCs w:val="21"/>
              </w:rPr>
            </w:pPr>
            <w:r>
              <w:rPr>
                <w:rFonts w:hint="eastAsia"/>
                <w:snapToGrid w:val="0"/>
                <w:color w:val="000000"/>
                <w:kern w:val="0"/>
                <w:szCs w:val="21"/>
              </w:rPr>
              <w:t>三</w:t>
            </w:r>
          </w:p>
        </w:tc>
        <w:tc>
          <w:tcPr>
            <w:tcW w:w="509"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安全生产基层基础不够扎实的问题。</w:t>
            </w:r>
          </w:p>
        </w:tc>
        <w:tc>
          <w:tcPr>
            <w:tcW w:w="727"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重点是高危行业从业人员特别是一线操作人员的安全素质尚未根本提升，安全科技水平有待进一步提高，农村地区安全监管相对薄弱，主动防范化解重大安全风险的体制机制还不健全等。</w:t>
            </w:r>
          </w:p>
        </w:tc>
        <w:tc>
          <w:tcPr>
            <w:tcW w:w="2324"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一是发挥教育特别是职业教育发达的优势，加强化工等高危行业相关职业院校和学科建设，积极提升从业人员安全素质。压实企业安全生产主体责任，开展以工代训等多种手段，提高一线从业人员执业技能。</w:t>
            </w:r>
          </w:p>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二是加强安全科技攻关，积极推动危化品重大危险源、</w:t>
            </w:r>
            <w:r>
              <w:rPr>
                <w:snapToGrid w:val="0"/>
                <w:color w:val="000000"/>
                <w:kern w:val="0"/>
                <w:szCs w:val="21"/>
              </w:rPr>
              <w:t xml:space="preserve"> “</w:t>
            </w:r>
            <w:r>
              <w:rPr>
                <w:rFonts w:hint="eastAsia"/>
                <w:snapToGrid w:val="0"/>
                <w:color w:val="000000"/>
                <w:kern w:val="0"/>
                <w:szCs w:val="21"/>
              </w:rPr>
              <w:t>两客一危</w:t>
            </w:r>
            <w:r>
              <w:rPr>
                <w:snapToGrid w:val="0"/>
                <w:color w:val="000000"/>
                <w:kern w:val="0"/>
                <w:szCs w:val="21"/>
              </w:rPr>
              <w:t>”</w:t>
            </w:r>
            <w:r>
              <w:rPr>
                <w:rFonts w:hint="eastAsia"/>
                <w:snapToGrid w:val="0"/>
                <w:color w:val="000000"/>
                <w:kern w:val="0"/>
                <w:szCs w:val="21"/>
              </w:rPr>
              <w:t>、渔船等信息化在线监控预警、联网联控；继续实施生命防护工程，加强桥梁隧道、隔离防撞、老旧建筑、市政设施等安全检测和防护系统建设，切实提高安全防护水平。</w:t>
            </w:r>
          </w:p>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三是运用</w:t>
            </w:r>
            <w:r>
              <w:rPr>
                <w:snapToGrid w:val="0"/>
                <w:color w:val="000000"/>
                <w:kern w:val="0"/>
                <w:szCs w:val="21"/>
              </w:rPr>
              <w:t>“</w:t>
            </w:r>
            <w:r>
              <w:rPr>
                <w:rFonts w:hint="eastAsia"/>
                <w:snapToGrid w:val="0"/>
                <w:color w:val="000000"/>
                <w:kern w:val="0"/>
                <w:szCs w:val="21"/>
              </w:rPr>
              <w:t>大数据</w:t>
            </w:r>
            <w:r>
              <w:rPr>
                <w:snapToGrid w:val="0"/>
                <w:color w:val="000000"/>
                <w:kern w:val="0"/>
                <w:szCs w:val="21"/>
              </w:rPr>
              <w:t>+</w:t>
            </w:r>
            <w:r>
              <w:rPr>
                <w:rFonts w:hint="eastAsia"/>
                <w:snapToGrid w:val="0"/>
                <w:color w:val="000000"/>
                <w:kern w:val="0"/>
                <w:szCs w:val="21"/>
              </w:rPr>
              <w:t>网格化</w:t>
            </w:r>
            <w:r>
              <w:rPr>
                <w:snapToGrid w:val="0"/>
                <w:color w:val="000000"/>
                <w:kern w:val="0"/>
                <w:szCs w:val="21"/>
              </w:rPr>
              <w:t>+</w:t>
            </w:r>
            <w:r>
              <w:rPr>
                <w:rFonts w:hint="eastAsia"/>
                <w:snapToGrid w:val="0"/>
                <w:color w:val="000000"/>
                <w:kern w:val="0"/>
                <w:szCs w:val="21"/>
              </w:rPr>
              <w:t>铁脚板</w:t>
            </w:r>
            <w:r>
              <w:rPr>
                <w:snapToGrid w:val="0"/>
                <w:color w:val="000000"/>
                <w:kern w:val="0"/>
                <w:szCs w:val="21"/>
              </w:rPr>
              <w:t>”</w:t>
            </w:r>
            <w:r>
              <w:rPr>
                <w:rFonts w:hint="eastAsia"/>
                <w:snapToGrid w:val="0"/>
                <w:color w:val="000000"/>
                <w:kern w:val="0"/>
                <w:szCs w:val="21"/>
              </w:rPr>
              <w:t>经验做法，充分发挥全区综合网格、专业网格和网格员作用，将排查任务、责任、措施压紧压实到镇（街道）和村（社区），构建形成组织到村、排查到点、责任到人的工作体系，深入开展农村地区安全隐患排查整治。</w:t>
            </w:r>
          </w:p>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四是持续推动多部门联动工作机制、强化企业主体责任等一系列制度成果和经验做法落地见效，并在实践中不断完善。创新探索、建立完善主动防范化解重大安全风险的体制机制。</w:t>
            </w:r>
          </w:p>
        </w:tc>
        <w:tc>
          <w:tcPr>
            <w:tcW w:w="630" w:type="pct"/>
            <w:vAlign w:val="center"/>
          </w:tcPr>
          <w:p w:rsidR="0074438E" w:rsidRDefault="0074438E">
            <w:pPr>
              <w:overflowPunct w:val="0"/>
              <w:autoSpaceDE w:val="0"/>
              <w:autoSpaceDN w:val="0"/>
              <w:adjustRightInd w:val="0"/>
              <w:snapToGrid w:val="0"/>
              <w:spacing w:line="300" w:lineRule="exact"/>
              <w:rPr>
                <w:snapToGrid w:val="0"/>
                <w:color w:val="000000"/>
                <w:kern w:val="0"/>
                <w:szCs w:val="21"/>
              </w:rPr>
            </w:pPr>
            <w:r>
              <w:rPr>
                <w:rFonts w:hint="eastAsia"/>
                <w:snapToGrid w:val="0"/>
                <w:color w:val="000000"/>
                <w:kern w:val="0"/>
                <w:szCs w:val="21"/>
              </w:rPr>
              <w:t>区安委办牵头，区科技局、工信局、人社局、住建局、交通运输局、农业农村局、应急管理局、市场监管局、网格中心等相关部门按职责分工落实</w:t>
            </w:r>
          </w:p>
        </w:tc>
        <w:tc>
          <w:tcPr>
            <w:tcW w:w="498" w:type="pct"/>
            <w:vAlign w:val="center"/>
          </w:tcPr>
          <w:p w:rsidR="0074438E" w:rsidRDefault="0074438E">
            <w:pPr>
              <w:overflowPunct w:val="0"/>
              <w:autoSpaceDE w:val="0"/>
              <w:autoSpaceDN w:val="0"/>
              <w:adjustRightInd w:val="0"/>
              <w:snapToGrid w:val="0"/>
              <w:spacing w:line="300" w:lineRule="exact"/>
              <w:jc w:val="center"/>
              <w:rPr>
                <w:snapToGrid w:val="0"/>
                <w:color w:val="000000"/>
                <w:kern w:val="0"/>
                <w:szCs w:val="21"/>
              </w:rPr>
            </w:pPr>
            <w:r>
              <w:rPr>
                <w:snapToGrid w:val="0"/>
                <w:color w:val="000000"/>
                <w:kern w:val="0"/>
                <w:szCs w:val="21"/>
              </w:rPr>
              <w:t>2021</w:t>
            </w:r>
            <w:r>
              <w:rPr>
                <w:rFonts w:hint="eastAsia"/>
                <w:snapToGrid w:val="0"/>
                <w:color w:val="000000"/>
                <w:kern w:val="0"/>
                <w:szCs w:val="21"/>
              </w:rPr>
              <w:t>年底</w:t>
            </w:r>
          </w:p>
        </w:tc>
      </w:tr>
    </w:tbl>
    <w:p w:rsidR="0074438E" w:rsidRDefault="0074438E" w:rsidP="00E52623">
      <w:pPr>
        <w:overflowPunct w:val="0"/>
        <w:autoSpaceDE w:val="0"/>
        <w:autoSpaceDN w:val="0"/>
        <w:adjustRightInd w:val="0"/>
        <w:snapToGrid w:val="0"/>
        <w:spacing w:line="560" w:lineRule="exact"/>
        <w:jc w:val="left"/>
      </w:pPr>
    </w:p>
    <w:sectPr w:rsidR="0074438E" w:rsidSect="00E52623">
      <w:headerReference w:type="even" r:id="rId7"/>
      <w:footerReference w:type="even" r:id="rId8"/>
      <w:pgSz w:w="16838" w:h="11906" w:orient="landscape"/>
      <w:pgMar w:top="1531" w:right="2098" w:bottom="1531" w:left="1984" w:header="851" w:footer="1134"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38E" w:rsidRDefault="0074438E" w:rsidP="00D336F4">
      <w:r>
        <w:separator/>
      </w:r>
    </w:p>
  </w:endnote>
  <w:endnote w:type="continuationSeparator" w:id="0">
    <w:p w:rsidR="0074438E" w:rsidRDefault="0074438E" w:rsidP="00D3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E" w:rsidRDefault="0074438E" w:rsidP="00315107">
    <w:pPr>
      <w:pStyle w:val="Footer"/>
      <w:ind w:right="450" w:firstLineChars="200" w:firstLine="31680"/>
      <w:rPr>
        <w:rFonts w:ascii="宋体"/>
        <w:sz w:val="28"/>
        <w:szCs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26.4pt;margin-top:-1.5pt;width:2in;height:2in;z-index:251660288;mso-wrap-style:none;mso-position-horizontal-relative:margin" filled="f" stroked="f" strokeweight=".5pt">
          <v:textbox style="mso-fit-shape-to-text:t" inset="0,0,0,0">
            <w:txbxContent>
              <w:p w:rsidR="0074438E" w:rsidRDefault="0074438E">
                <w:pPr>
                  <w:pStyle w:val="Footer"/>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- 2 -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38E" w:rsidRDefault="0074438E" w:rsidP="00D336F4">
      <w:r>
        <w:separator/>
      </w:r>
    </w:p>
  </w:footnote>
  <w:footnote w:type="continuationSeparator" w:id="0">
    <w:p w:rsidR="0074438E" w:rsidRDefault="0074438E" w:rsidP="00D33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E" w:rsidRDefault="0074438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2E391"/>
    <w:multiLevelType w:val="singleLevel"/>
    <w:tmpl w:val="3282E391"/>
    <w:lvl w:ilvl="0">
      <w:start w:val="5"/>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evenAndOddHeaders/>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AEE"/>
    <w:rsid w:val="00126C01"/>
    <w:rsid w:val="001739AA"/>
    <w:rsid w:val="001810AF"/>
    <w:rsid w:val="00267D64"/>
    <w:rsid w:val="002A0373"/>
    <w:rsid w:val="002F2E8E"/>
    <w:rsid w:val="00312A4F"/>
    <w:rsid w:val="00315107"/>
    <w:rsid w:val="0033002C"/>
    <w:rsid w:val="003A3785"/>
    <w:rsid w:val="004034EB"/>
    <w:rsid w:val="00406DF0"/>
    <w:rsid w:val="00410960"/>
    <w:rsid w:val="004B1EFB"/>
    <w:rsid w:val="006725D8"/>
    <w:rsid w:val="006A5586"/>
    <w:rsid w:val="006B3BC4"/>
    <w:rsid w:val="0074438E"/>
    <w:rsid w:val="007B0584"/>
    <w:rsid w:val="00871A4C"/>
    <w:rsid w:val="00882DF2"/>
    <w:rsid w:val="00995288"/>
    <w:rsid w:val="00A605B6"/>
    <w:rsid w:val="00A94657"/>
    <w:rsid w:val="00AA3463"/>
    <w:rsid w:val="00AC4A46"/>
    <w:rsid w:val="00B1010A"/>
    <w:rsid w:val="00B40AE2"/>
    <w:rsid w:val="00B63AEE"/>
    <w:rsid w:val="00B8457B"/>
    <w:rsid w:val="00C00276"/>
    <w:rsid w:val="00C95226"/>
    <w:rsid w:val="00CA6F99"/>
    <w:rsid w:val="00D336F4"/>
    <w:rsid w:val="00E24624"/>
    <w:rsid w:val="00E369DD"/>
    <w:rsid w:val="00E52623"/>
    <w:rsid w:val="00F35599"/>
    <w:rsid w:val="00F600DA"/>
    <w:rsid w:val="00FA5E92"/>
    <w:rsid w:val="0388291F"/>
    <w:rsid w:val="041A3D35"/>
    <w:rsid w:val="080A65EC"/>
    <w:rsid w:val="12A67EB7"/>
    <w:rsid w:val="1309552F"/>
    <w:rsid w:val="13692E06"/>
    <w:rsid w:val="156F0C08"/>
    <w:rsid w:val="1996399A"/>
    <w:rsid w:val="1C9A0169"/>
    <w:rsid w:val="216551E7"/>
    <w:rsid w:val="21C0758A"/>
    <w:rsid w:val="251672B3"/>
    <w:rsid w:val="28B110CF"/>
    <w:rsid w:val="2DB26F39"/>
    <w:rsid w:val="2E80010B"/>
    <w:rsid w:val="31ED04EB"/>
    <w:rsid w:val="329A6505"/>
    <w:rsid w:val="372141FB"/>
    <w:rsid w:val="468B11A6"/>
    <w:rsid w:val="49664B87"/>
    <w:rsid w:val="4E4470E3"/>
    <w:rsid w:val="5121777C"/>
    <w:rsid w:val="51715DAA"/>
    <w:rsid w:val="52013C00"/>
    <w:rsid w:val="5854231B"/>
    <w:rsid w:val="5F444E20"/>
    <w:rsid w:val="68C45CF7"/>
    <w:rsid w:val="741D35E9"/>
    <w:rsid w:val="767E13F5"/>
    <w:rsid w:val="772D0B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336F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段"/>
    <w:next w:val="Normal"/>
    <w:uiPriority w:val="99"/>
    <w:rsid w:val="00D336F4"/>
    <w:pPr>
      <w:autoSpaceDE w:val="0"/>
      <w:autoSpaceDN w:val="0"/>
      <w:ind w:firstLine="200"/>
      <w:jc w:val="both"/>
    </w:pPr>
    <w:rPr>
      <w:rFonts w:ascii="宋体"/>
      <w:kern w:val="0"/>
    </w:rPr>
  </w:style>
  <w:style w:type="paragraph" w:styleId="Footer">
    <w:name w:val="footer"/>
    <w:basedOn w:val="Normal"/>
    <w:link w:val="FooterChar"/>
    <w:uiPriority w:val="99"/>
    <w:rsid w:val="00D336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36F4"/>
    <w:rPr>
      <w:rFonts w:ascii="Times New Roman" w:eastAsia="宋体" w:hAnsi="Times New Roman" w:cs="Times New Roman"/>
      <w:sz w:val="18"/>
      <w:szCs w:val="18"/>
    </w:rPr>
  </w:style>
  <w:style w:type="paragraph" w:styleId="Header">
    <w:name w:val="header"/>
    <w:basedOn w:val="Normal"/>
    <w:link w:val="HeaderChar"/>
    <w:uiPriority w:val="99"/>
    <w:rsid w:val="00D336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36F4"/>
    <w:rPr>
      <w:rFonts w:ascii="Times New Roman" w:eastAsia="宋体" w:hAnsi="Times New Roman" w:cs="Times New Roman"/>
      <w:sz w:val="18"/>
      <w:szCs w:val="18"/>
    </w:rPr>
  </w:style>
  <w:style w:type="character" w:customStyle="1" w:styleId="NormalCharacter">
    <w:name w:val="NormalCharacter"/>
    <w:uiPriority w:val="99"/>
    <w:semiHidden/>
    <w:rsid w:val="00D336F4"/>
  </w:style>
  <w:style w:type="paragraph" w:customStyle="1" w:styleId="CharCharChar">
    <w:name w:val="Char Char Char"/>
    <w:basedOn w:val="Normal"/>
    <w:uiPriority w:val="99"/>
    <w:rsid w:val="00D336F4"/>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p0">
    <w:name w:val="p0"/>
    <w:basedOn w:val="Normal"/>
    <w:uiPriority w:val="99"/>
    <w:rsid w:val="00D336F4"/>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208</Words>
  <Characters>1188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zfb-02</dc:creator>
  <cp:keywords/>
  <dc:description/>
  <cp:lastModifiedBy>孟瑶</cp:lastModifiedBy>
  <cp:revision>2</cp:revision>
  <cp:lastPrinted>2021-02-01T01:33:00Z</cp:lastPrinted>
  <dcterms:created xsi:type="dcterms:W3CDTF">2021-07-30T06:26:00Z</dcterms:created>
  <dcterms:modified xsi:type="dcterms:W3CDTF">2021-07-30T06:26:00Z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3969A4709385468BBF3CB71755832B12</vt:lpwstr>
  </property>
  <property fmtid="{D5CDD505-2E9C-101B-9397-08002B2CF9AE}" pid="4" name="KSOSaveFontToCloudKey">
    <vt:lpwstr>572104281_cloud</vt:lpwstr>
  </property>
</Properties>
</file>