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武进区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  <w:t>常安码推进情况统计表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楷体_GB2312"/>
          <w:bCs/>
          <w:color w:val="000000"/>
          <w:kern w:val="0"/>
          <w:szCs w:val="32"/>
          <w:lang w:bidi="ar"/>
        </w:rPr>
      </w:pP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bidi="ar"/>
        </w:rPr>
        <w:t>（截至2021年</w:t>
      </w: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bidi="ar"/>
        </w:rPr>
        <w:t>月</w:t>
      </w: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楷体_GB2312"/>
          <w:bCs/>
          <w:color w:val="000000"/>
          <w:kern w:val="0"/>
          <w:szCs w:val="32"/>
          <w:lang w:bidi="ar"/>
        </w:rPr>
        <w:t>日）</w:t>
      </w:r>
    </w:p>
    <w:tbl>
      <w:tblPr>
        <w:tblStyle w:val="4"/>
        <w:tblW w:w="132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00"/>
        <w:gridCol w:w="1665"/>
        <w:gridCol w:w="1710"/>
        <w:gridCol w:w="1725"/>
        <w:gridCol w:w="1440"/>
        <w:gridCol w:w="1230"/>
        <w:gridCol w:w="1640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已开展扫码自查企业数(家)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四类风险点扫码次数(次)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如期完成风险点自查任务（处）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风险点待查任务数（处）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逾期风险点数量（处）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扫码检查排查问题隐患(条)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风险点检查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逾期率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武进区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78568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57027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99872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南夏墅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湖塘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牛塘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洛阳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18708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雪堰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前黄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礼嘉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嘉泽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湟里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西太湖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高新南区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14596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14206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高新北区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科教城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22.8%</w:t>
            </w:r>
          </w:p>
        </w:tc>
      </w:tr>
    </w:tbl>
    <w:p>
      <w:pPr>
        <w:pStyle w:val="3"/>
        <w:widowControl w:val="0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snapToGrid w:val="0"/>
          <w:color w:val="000000"/>
          <w:szCs w:val="32"/>
        </w:rPr>
        <w:sectPr>
          <w:pgSz w:w="16838" w:h="11906" w:orient="landscape"/>
          <w:pgMar w:top="1440" w:right="1531" w:bottom="1440" w:left="1531" w:header="709" w:footer="850" w:gutter="0"/>
          <w:pgNumType w:fmt="numberInDash"/>
          <w:cols w:space="720" w:num="1"/>
          <w:rtlGutter w:val="0"/>
          <w:docGrid w:type="lines" w:linePitch="60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231E"/>
    <w:rsid w:val="4A3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2021-11-10T07:21:00Z</dcterms:created>
  <dc:creator>Administrator</dc:creator>
  <cp:lastModifiedBy>Administrator</cp:lastModifiedBy>
  <dcterms:modified xsi:type="dcterms:W3CDTF">2021-11-10T07:22:04Z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B9FECFDA06E5441D876508A940F64FA9</vt:lpwstr>
  </property>
</Properties>
</file>