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  <w:t>武进区风险辨识管控系统和“常安码”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  <w:t>使用提示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梳理形成“四类风险”清单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应督促企业根据《江苏省工业企业安全生产风险报告规定》（省政府令140号）进行全面、系统的风险辨识，形成风险清单。符合省较大风险目录所列情形的，应当确定为较大或重大风险。其他风险要通过市风险管控系统的评估功能进行分级评估，系统根据事故发生的可能性、暴露危险环境的频繁程度、发生事故事件产生的后果严重性自动划分为重大风险、较大风险、一般风险和低风险，形成四类风险清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科学制定风险管控措施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1.按照不同安全风险等级实施分级管控，将安全风险管控责任逐一落实到企业、车间、班组和岗位。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240"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风险等级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240"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应采取的管控责任级别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240"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重大风险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240"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企业、车间、班组和岗位管控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240"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较大风险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240"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企业、车间、班组和岗位管控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240"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一般风险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240"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车间、班组和岗位管控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240"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低风险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240"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班组和岗位管控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按照140号令中规定的第十一条“企业对辨识出的安全风险，应当根据安全风险特点，从组织、技术、管理、应急等方面逐项制定管控措施，以纺织类0905（印染和漂染工序）印染和漂染车间储存和使用的保险粉、双氧水泄漏、挥发为例：</w:t>
      </w:r>
    </w:p>
    <w:tbl>
      <w:tblPr>
        <w:tblStyle w:val="3"/>
        <w:tblW w:w="10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89"/>
        <w:gridCol w:w="690"/>
        <w:gridCol w:w="6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（印染和漂染工序）印染和漂染车间储存和使用的保险粉、双氧水泄漏、挥发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印染和漂染车间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定期组织车间作业人员开展风险辨识及管控;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（2）定期组织开展隐患排查治理工作，落实全员参与隐患排查，确保风险可控。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漂白剂储存仓库、设施应达到国家安全技术标准规定，设置明显标志和安全防护区域；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设置建筑防火防爆、密闭分隔和吸湿干燥、遮挡强光、机械通风等设施，相抵触的或发生化学反应的物质分开存放，切忌混储，防止包装及容器损坏，设置围堰等防泄漏流散措施及温湿度计；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安装易燃易爆、有毒有害气体报警装置，现场应有声光报警且报警信号远传至24小时有人值守的场所；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保险粉储存仓库、设施应达到国家安全技术标准规定，防水防潮措施可靠有效，设置明显安全警示标识和安全防护区域，实行双人双锁；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远离火种、热源，工作场所严禁吸烟；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电气开关设置在库房外；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库房门口设置人体静电释放装置；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（8）库内采用防爆型电气设施。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严格维保检查，确保各设备设施运行安全、可靠；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加强危险化学品的管理，现场危化品的储存量不得超过当班使用量；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严禁违章动火和外来火种进入；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建立并严格执行安全操作规程或作业指导书、应急预案、危险化学品 MSDS等；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对危险作业严格执行审批制度；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（6）现场张贴醒目的安全警示标志。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培训教育：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新员工三级安全教育，考核合格后上岗作业;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日常再教育培训;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定期开展全员风险辨识管控培训，让员工熟练掌握危险化学品储存、使用环节安全风险和管控措施;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管理制度及安全操作规程培训;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（5）事故应急救援预案培训。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个体防护措施：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按规定配备、发放并正确佩戴符合规定的劳动防护用品（包括应急眼罩、空气呼吸器、乳胶手套、安全鞋等）。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应急处置：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配备相应消防器材如砂土、干粉、二氧化碳等灭火器，发生事故时用干石灰、沙或苏打灰覆盖泄漏物，使用无火花工具收集回收处置；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现场安装洗眼器、冲洗淋浴装置;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定期组织应急预案演练，发生事故按制定的应急预案执行;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在处理有毒有害气体泄漏或有烟雾的事故时应佩戴好防烟（毒）面具；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发生突发事件，第一时间电话向部门报告;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泄漏后，立即安排人员佩戴防护用品进入关闭相关阀门;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（7）发生火灾，立即安排人员疏散，同时安排人员用灭火器材进行灭火，发生大火无法扑灭时拨打119救援。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风险告知卡张贴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1.工贸企业应建立完善的安全风险公告制度，一般实行公司（厂）、车间（部室）、班组(岗位)三级公告，公告内容应及时更新和建档。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2.风险告知卡应合理设置大小（建议不要直接使用系统自动生成的A4纸大小的尺寸），张贴在各岗位醒目位置，并进行定期检查和维护，确保其完好有效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定期扫码自查自改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1.应督促企业定期登录“常州应急”APP的风险管控模块，使用“扫一扫”功能对企业风险点上的“常安码”进行扫码自查，及时发现并消除事故隐患。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2.重大风险、较大风险、一般风险、低风险的排查周期不得超过15天、30天、60天和90天。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开展执法检查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各板块要以执法推动等举措为手段，严抓工作落实，将企业市风险管控系统和“常安码”的使用作为执法检查的重要内容，按照安全生产法、140号令等法律法规，持续开展执法检查，重点检查“四类风险”清单的真实性、各项风险管控措施的科学性、现场张贴风险告知卡的合理性、企业定期扫码自查隐患的有效性，2021年底前确保“常安码”覆盖全区工业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其他相关提示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1.“常安码”在哪里下载？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答：在常州市风控平台的“安全风险汇总”里，通过扫一扫右上角的二维码，可以点击下载风险告知卡。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2.“常安码”告知卡可以做黑白色吗？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答：不能，按风险等级从“重大风险、较大风险、一般风险到低风险”，分别用红、橙、黄、蓝四种颜色代表，便于醒目公示和分级管理。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3.扫码检查隐患时显示无权限，无法进行扫码？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答：检查手机常州应急APP，应使用企业名称登陆，个人账号无法进行扫码查隐患（企业赋予个人权限的账号除外）。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4.如何新增人员扫码权限？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答：在常州市安全生产管理平台首页面，左侧的“员工管理”输入姓名、手机号、身份证号码，可添加人员和勾选权限。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5.“常安码”如何设置检查频率？</w:t>
      </w:r>
    </w:p>
    <w:p>
      <w:r>
        <w:rPr>
          <w:rFonts w:hint="eastAsia" w:ascii="Times New Roman" w:hAnsi="Times New Roman" w:eastAsia="仿宋_GB2312"/>
          <w:sz w:val="32"/>
          <w:lang w:val="en-US" w:eastAsia="zh-CN"/>
        </w:rPr>
        <w:t>答：在风险检查任务的常安码扫描设定中，可以手动设置不同风险等级的检查频率，注意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重大风险、较大风险、一般风险、低风险的排查周期不得超过15天、30天、60天和90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BA59D"/>
    <w:multiLevelType w:val="singleLevel"/>
    <w:tmpl w:val="97EBA5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E12782"/>
    <w:multiLevelType w:val="singleLevel"/>
    <w:tmpl w:val="C2E1278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CE802ED"/>
    <w:multiLevelType w:val="singleLevel"/>
    <w:tmpl w:val="CCE802E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DC7BE23"/>
    <w:multiLevelType w:val="singleLevel"/>
    <w:tmpl w:val="CDC7BE2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EE72CCD2"/>
    <w:multiLevelType w:val="singleLevel"/>
    <w:tmpl w:val="EE72CCD2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2DD9C8D8"/>
    <w:multiLevelType w:val="singleLevel"/>
    <w:tmpl w:val="2DD9C8D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6812"/>
    <w:rsid w:val="5385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2021-11-10T07:22:00Z</dcterms:created>
  <dc:creator>Administrator</dc:creator>
  <cp:lastModifiedBy>Administrator</cp:lastModifiedBy>
  <dcterms:modified xsi:type="dcterms:W3CDTF">2021-11-10T07:22:36Z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A38A6C797E2C491AB67A5AC89251BA09</vt:lpwstr>
  </property>
</Properties>
</file>