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</w:p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保障农民工工资支付夏季专项行动情况表</w:t>
      </w:r>
      <w:bookmarkEnd w:id="0"/>
    </w:p>
    <w:p>
      <w:pPr>
        <w:widowControl/>
        <w:tabs>
          <w:tab w:val="left" w:pos="2788"/>
          <w:tab w:val="left" w:pos="3448"/>
          <w:tab w:val="left" w:pos="4388"/>
          <w:tab w:val="left" w:pos="5628"/>
          <w:tab w:val="left" w:pos="6288"/>
          <w:tab w:val="left" w:pos="6948"/>
          <w:tab w:val="left" w:pos="7608"/>
          <w:tab w:val="left" w:pos="8268"/>
          <w:tab w:val="left" w:pos="8928"/>
          <w:tab w:val="left" w:pos="9744"/>
          <w:tab w:val="left" w:pos="10560"/>
          <w:tab w:val="left" w:pos="11148"/>
        </w:tabs>
        <w:adjustRightInd w:val="0"/>
        <w:snapToGrid w:val="0"/>
        <w:spacing w:after="80" w:line="360" w:lineRule="exact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宋体" w:eastAsia="宋体" w:cs="Times New Roman"/>
          <w:kern w:val="0"/>
          <w:szCs w:val="21"/>
        </w:rPr>
        <w:t>填报单位名称（盖章）：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                                                                             </w:t>
      </w:r>
      <w:r>
        <w:rPr>
          <w:rFonts w:ascii="Times New Roman" w:hAnsi="宋体" w:eastAsia="宋体" w:cs="Times New Roman"/>
          <w:kern w:val="0"/>
          <w:szCs w:val="21"/>
        </w:rPr>
        <w:t>制表时间：</w:t>
      </w:r>
    </w:p>
    <w:tbl>
      <w:tblPr>
        <w:tblStyle w:val="4"/>
        <w:tblW w:w="141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20"/>
        <w:gridCol w:w="756"/>
        <w:gridCol w:w="705"/>
        <w:gridCol w:w="820"/>
        <w:gridCol w:w="1165"/>
        <w:gridCol w:w="756"/>
        <w:gridCol w:w="630"/>
        <w:gridCol w:w="627"/>
        <w:gridCol w:w="630"/>
        <w:gridCol w:w="627"/>
        <w:gridCol w:w="809"/>
        <w:gridCol w:w="809"/>
        <w:gridCol w:w="566"/>
        <w:gridCol w:w="619"/>
        <w:gridCol w:w="567"/>
        <w:gridCol w:w="591"/>
        <w:gridCol w:w="816"/>
        <w:gridCol w:w="8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检查用人单位情况</w:t>
            </w:r>
          </w:p>
        </w:tc>
        <w:tc>
          <w:tcPr>
            <w:tcW w:w="33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拖欠工资情况</w:t>
            </w:r>
          </w:p>
        </w:tc>
        <w:tc>
          <w:tcPr>
            <w:tcW w:w="407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处理情况</w:t>
            </w:r>
          </w:p>
        </w:tc>
        <w:tc>
          <w:tcPr>
            <w:tcW w:w="163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涉嫌犯罪案件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0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用人单位户数（户）</w:t>
            </w:r>
          </w:p>
        </w:tc>
        <w:tc>
          <w:tcPr>
            <w:tcW w:w="72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涉及职工人数（万人）</w:t>
            </w:r>
          </w:p>
        </w:tc>
        <w:tc>
          <w:tcPr>
            <w:tcW w:w="21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用人单位户数（户）</w:t>
            </w:r>
          </w:p>
        </w:tc>
        <w:tc>
          <w:tcPr>
            <w:tcW w:w="13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涉及职工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人数（万人）</w:t>
            </w:r>
          </w:p>
        </w:tc>
        <w:tc>
          <w:tcPr>
            <w:tcW w:w="13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涉及金额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立案（件）</w:t>
            </w:r>
          </w:p>
        </w:tc>
        <w:tc>
          <w:tcPr>
            <w:tcW w:w="8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通过协调等非立案方式解决（件）</w:t>
            </w:r>
          </w:p>
        </w:tc>
        <w:tc>
          <w:tcPr>
            <w:tcW w:w="123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追发工资人数（万人）</w:t>
            </w:r>
          </w:p>
        </w:tc>
        <w:tc>
          <w:tcPr>
            <w:tcW w:w="120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追发工资及赔偿金（万元）</w:t>
            </w:r>
          </w:p>
        </w:tc>
        <w:tc>
          <w:tcPr>
            <w:tcW w:w="8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移送公安机关（件）</w:t>
            </w:r>
          </w:p>
        </w:tc>
        <w:tc>
          <w:tcPr>
            <w:tcW w:w="8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公安机关立案（件）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0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其中：农民工人数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（万人）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农民工签订劳动合同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人数（万人）</w:t>
            </w:r>
          </w:p>
        </w:tc>
        <w:tc>
          <w:tcPr>
            <w:tcW w:w="6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其中：农民工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其中：农民工</w:t>
            </w:r>
          </w:p>
        </w:tc>
        <w:tc>
          <w:tcPr>
            <w:tcW w:w="8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其中：农民工</w:t>
            </w: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其中：农民工</w:t>
            </w: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甲</w:t>
            </w:r>
          </w:p>
        </w:tc>
        <w:tc>
          <w:tcPr>
            <w:tcW w:w="42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58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建筑企业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加工制造企业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其它用人单位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360" w:lineRule="exact"/>
        <w:jc w:val="left"/>
        <w:rPr>
          <w:rFonts w:hint="eastAsia" w:ascii="Times New Roman" w:hAnsi="宋体" w:eastAsia="宋体" w:cs="Times New Roman"/>
          <w:kern w:val="0"/>
          <w:szCs w:val="21"/>
        </w:rPr>
      </w:pPr>
      <w:r>
        <w:rPr>
          <w:rFonts w:ascii="Times New Roman" w:hAnsi="宋体" w:eastAsia="宋体" w:cs="Times New Roman"/>
          <w:kern w:val="0"/>
          <w:szCs w:val="21"/>
        </w:rPr>
        <w:t>其他情况：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1. </w:t>
      </w:r>
      <w:r>
        <w:rPr>
          <w:rFonts w:ascii="Times New Roman" w:hAnsi="宋体" w:eastAsia="宋体" w:cs="Times New Roman"/>
          <w:kern w:val="0"/>
          <w:szCs w:val="21"/>
        </w:rPr>
        <w:t>检查政府投资工程项目共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</w:t>
      </w:r>
      <w:r>
        <w:rPr>
          <w:rFonts w:ascii="Times New Roman" w:hAnsi="宋体" w:eastAsia="宋体" w:cs="Times New Roman"/>
          <w:kern w:val="0"/>
          <w:szCs w:val="21"/>
        </w:rPr>
        <w:t>个，查实存在欠薪项目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</w:t>
      </w:r>
      <w:r>
        <w:rPr>
          <w:rFonts w:ascii="Times New Roman" w:hAnsi="宋体" w:eastAsia="宋体" w:cs="Times New Roman"/>
          <w:kern w:val="0"/>
          <w:szCs w:val="21"/>
        </w:rPr>
        <w:t>个（拖欠工资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</w:t>
      </w:r>
      <w:r>
        <w:rPr>
          <w:rFonts w:ascii="Times New Roman" w:hAnsi="宋体" w:eastAsia="宋体" w:cs="Times New Roman"/>
          <w:kern w:val="0"/>
          <w:szCs w:val="21"/>
        </w:rPr>
        <w:t>万元，涉及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</w:t>
      </w:r>
      <w:r>
        <w:rPr>
          <w:rFonts w:ascii="Times New Roman" w:hAnsi="宋体" w:eastAsia="宋体" w:cs="Times New Roman"/>
          <w:kern w:val="0"/>
          <w:szCs w:val="21"/>
        </w:rPr>
        <w:t>万人）；</w:t>
      </w:r>
      <w:r>
        <w:rPr>
          <w:rFonts w:ascii="Times New Roman" w:hAnsi="Times New Roman" w:eastAsia="宋体" w:cs="Times New Roman"/>
          <w:kern w:val="0"/>
          <w:szCs w:val="21"/>
        </w:rPr>
        <w:t xml:space="preserve">2. </w:t>
      </w:r>
      <w:r>
        <w:rPr>
          <w:rFonts w:ascii="Times New Roman" w:hAnsi="宋体" w:eastAsia="宋体" w:cs="Times New Roman"/>
          <w:kern w:val="0"/>
          <w:szCs w:val="21"/>
        </w:rPr>
        <w:t>检查国企项目共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    </w:t>
      </w:r>
      <w:r>
        <w:rPr>
          <w:rFonts w:ascii="Times New Roman" w:hAnsi="宋体" w:eastAsia="宋体" w:cs="Times New Roman"/>
          <w:kern w:val="0"/>
          <w:szCs w:val="21"/>
        </w:rPr>
        <w:t>个，</w:t>
      </w:r>
    </w:p>
    <w:p>
      <w:pPr>
        <w:widowControl/>
        <w:adjustRightInd w:val="0"/>
        <w:snapToGrid w:val="0"/>
        <w:spacing w:line="360" w:lineRule="exact"/>
        <w:ind w:firstLine="924" w:firstLineChars="440"/>
        <w:jc w:val="left"/>
        <w:rPr>
          <w:rFonts w:hint="eastAsia" w:ascii="Times New Roman" w:hAnsi="宋体" w:eastAsia="宋体" w:cs="Times New Roman"/>
          <w:kern w:val="0"/>
          <w:szCs w:val="21"/>
        </w:rPr>
      </w:pPr>
      <w:r>
        <w:rPr>
          <w:rFonts w:ascii="Times New Roman" w:hAnsi="宋体" w:eastAsia="宋体" w:cs="Times New Roman"/>
          <w:kern w:val="0"/>
          <w:szCs w:val="21"/>
        </w:rPr>
        <w:t>查实存在欠薪项目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</w:t>
      </w:r>
      <w:r>
        <w:rPr>
          <w:rFonts w:ascii="Times New Roman" w:hAnsi="宋体" w:eastAsia="宋体" w:cs="Times New Roman"/>
          <w:kern w:val="0"/>
          <w:szCs w:val="21"/>
        </w:rPr>
        <w:t>个（拖欠工资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</w:t>
      </w:r>
      <w:r>
        <w:rPr>
          <w:rFonts w:ascii="Times New Roman" w:hAnsi="宋体" w:eastAsia="宋体" w:cs="Times New Roman"/>
          <w:kern w:val="0"/>
          <w:szCs w:val="21"/>
        </w:rPr>
        <w:t>万元，涉及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</w:t>
      </w:r>
      <w:r>
        <w:rPr>
          <w:rFonts w:ascii="Times New Roman" w:hAnsi="宋体" w:eastAsia="宋体" w:cs="Times New Roman"/>
          <w:kern w:val="0"/>
          <w:szCs w:val="21"/>
        </w:rPr>
        <w:t>万人）</w:t>
      </w:r>
      <w:r>
        <w:rPr>
          <w:rFonts w:ascii="Times New Roman" w:hAnsi="Times New Roman" w:eastAsia="宋体" w:cs="Times New Roman"/>
          <w:kern w:val="0"/>
          <w:szCs w:val="21"/>
        </w:rPr>
        <w:t xml:space="preserve">； 3. </w:t>
      </w:r>
      <w:r>
        <w:rPr>
          <w:rFonts w:ascii="Times New Roman" w:hAnsi="宋体" w:eastAsia="宋体" w:cs="Times New Roman"/>
          <w:kern w:val="0"/>
          <w:szCs w:val="21"/>
        </w:rPr>
        <w:t>查处违反《条例》工程建设领域制度规定的案件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</w:t>
      </w:r>
      <w:r>
        <w:rPr>
          <w:rFonts w:ascii="Times New Roman" w:hAnsi="宋体" w:eastAsia="宋体" w:cs="Times New Roman"/>
          <w:kern w:val="0"/>
          <w:szCs w:val="21"/>
        </w:rPr>
        <w:t>件，其中</w:t>
      </w:r>
    </w:p>
    <w:p>
      <w:pPr>
        <w:widowControl/>
        <w:adjustRightInd w:val="0"/>
        <w:snapToGrid w:val="0"/>
        <w:spacing w:line="360" w:lineRule="exact"/>
        <w:ind w:firstLine="924" w:firstLineChars="44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宋体" w:eastAsia="宋体" w:cs="Times New Roman"/>
          <w:kern w:val="0"/>
          <w:szCs w:val="21"/>
        </w:rPr>
        <w:t>行政处罚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</w:t>
      </w:r>
      <w:r>
        <w:rPr>
          <w:rFonts w:ascii="Times New Roman" w:hAnsi="宋体" w:eastAsia="宋体" w:cs="Times New Roman"/>
          <w:kern w:val="0"/>
          <w:szCs w:val="21"/>
        </w:rPr>
        <w:t>件；</w:t>
      </w:r>
      <w:r>
        <w:rPr>
          <w:rFonts w:ascii="Times New Roman" w:hAnsi="Times New Roman" w:eastAsia="宋体" w:cs="Times New Roman"/>
          <w:kern w:val="0"/>
          <w:szCs w:val="21"/>
        </w:rPr>
        <w:t>4.“</w:t>
      </w:r>
      <w:r>
        <w:rPr>
          <w:rFonts w:ascii="Times New Roman" w:hAnsi="宋体" w:eastAsia="宋体" w:cs="Times New Roman"/>
          <w:kern w:val="0"/>
          <w:szCs w:val="21"/>
        </w:rPr>
        <w:t>回头看</w:t>
      </w:r>
      <w:r>
        <w:rPr>
          <w:rFonts w:ascii="Times New Roman" w:hAnsi="Times New Roman" w:eastAsia="宋体" w:cs="Times New Roman"/>
          <w:kern w:val="0"/>
          <w:szCs w:val="21"/>
        </w:rPr>
        <w:t>”</w:t>
      </w:r>
      <w:r>
        <w:rPr>
          <w:rFonts w:ascii="Times New Roman" w:hAnsi="宋体" w:eastAsia="宋体" w:cs="Times New Roman"/>
          <w:kern w:val="0"/>
          <w:szCs w:val="21"/>
        </w:rPr>
        <w:t>案件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</w:t>
      </w:r>
      <w:r>
        <w:rPr>
          <w:rFonts w:ascii="Times New Roman" w:hAnsi="宋体" w:eastAsia="宋体" w:cs="Times New Roman"/>
          <w:kern w:val="0"/>
          <w:szCs w:val="21"/>
        </w:rPr>
        <w:t>件；</w:t>
      </w:r>
      <w:r>
        <w:rPr>
          <w:rFonts w:ascii="Times New Roman" w:hAnsi="Times New Roman" w:eastAsia="宋体" w:cs="Times New Roman"/>
          <w:kern w:val="0"/>
          <w:szCs w:val="21"/>
        </w:rPr>
        <w:t xml:space="preserve">5. </w:t>
      </w:r>
      <w:r>
        <w:rPr>
          <w:rFonts w:ascii="Times New Roman" w:hAnsi="宋体" w:eastAsia="宋体" w:cs="Times New Roman"/>
          <w:kern w:val="0"/>
          <w:szCs w:val="21"/>
        </w:rPr>
        <w:t>问责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</w:t>
      </w:r>
      <w:r>
        <w:rPr>
          <w:rFonts w:ascii="Times New Roman" w:hAnsi="宋体" w:eastAsia="宋体" w:cs="Times New Roman"/>
          <w:kern w:val="0"/>
          <w:szCs w:val="21"/>
        </w:rPr>
        <w:t>起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</w:t>
      </w:r>
      <w:r>
        <w:rPr>
          <w:rFonts w:ascii="Times New Roman" w:hAnsi="宋体" w:eastAsia="宋体" w:cs="Times New Roman"/>
          <w:kern w:val="0"/>
          <w:szCs w:val="21"/>
        </w:rPr>
        <w:t>人。</w:t>
      </w:r>
    </w:p>
    <w:p>
      <w:pPr>
        <w:widowControl/>
        <w:tabs>
          <w:tab w:val="left" w:pos="1488"/>
          <w:tab w:val="left" w:pos="4388"/>
          <w:tab w:val="left" w:pos="5628"/>
          <w:tab w:val="left" w:pos="8928"/>
          <w:tab w:val="left" w:pos="9744"/>
          <w:tab w:val="left" w:pos="12384"/>
          <w:tab w:val="left" w:pos="13816"/>
        </w:tabs>
        <w:adjustRightInd w:val="0"/>
        <w:snapToGrid w:val="0"/>
        <w:spacing w:line="360" w:lineRule="exact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宋体" w:eastAsia="宋体" w:cs="Times New Roman"/>
          <w:kern w:val="0"/>
          <w:szCs w:val="21"/>
        </w:rPr>
        <w:t>单位负责人：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         </w:t>
      </w:r>
      <w:r>
        <w:rPr>
          <w:rFonts w:ascii="Times New Roman" w:hAnsi="宋体" w:eastAsia="宋体" w:cs="Times New Roman"/>
          <w:kern w:val="0"/>
          <w:szCs w:val="21"/>
        </w:rPr>
        <w:t>处（队）负责人：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       </w:t>
      </w:r>
      <w:r>
        <w:rPr>
          <w:rFonts w:ascii="Times New Roman" w:hAnsi="宋体" w:eastAsia="宋体" w:cs="Times New Roman"/>
          <w:kern w:val="0"/>
          <w:szCs w:val="21"/>
        </w:rPr>
        <w:t>制表人：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      </w:t>
      </w:r>
      <w:r>
        <w:rPr>
          <w:rFonts w:ascii="Times New Roman" w:hAnsi="宋体" w:eastAsia="宋体" w:cs="Times New Roman"/>
          <w:kern w:val="0"/>
          <w:szCs w:val="21"/>
        </w:rPr>
        <w:t>联系电话：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     </w:t>
      </w:r>
    </w:p>
    <w:p>
      <w:pPr>
        <w:widowControl/>
        <w:tabs>
          <w:tab w:val="left" w:pos="13816"/>
        </w:tabs>
        <w:adjustRightInd w:val="0"/>
        <w:snapToGrid w:val="0"/>
        <w:spacing w:line="360" w:lineRule="exact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宋体" w:eastAsia="宋体" w:cs="Times New Roman"/>
          <w:kern w:val="0"/>
          <w:szCs w:val="21"/>
        </w:rPr>
        <w:t>备注：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1. </w:t>
      </w:r>
      <w:r>
        <w:rPr>
          <w:rFonts w:ascii="Times New Roman" w:hAnsi="宋体" w:eastAsia="宋体" w:cs="Times New Roman"/>
          <w:kern w:val="0"/>
          <w:szCs w:val="21"/>
        </w:rPr>
        <w:t>情况统计包括立案和通过非立案方式处理的欠薪问题；</w:t>
      </w:r>
    </w:p>
    <w:p>
      <w:pPr>
        <w:widowControl/>
        <w:tabs>
          <w:tab w:val="left" w:pos="13816"/>
        </w:tabs>
        <w:adjustRightInd w:val="0"/>
        <w:snapToGrid w:val="0"/>
        <w:spacing w:line="360" w:lineRule="exact"/>
        <w:ind w:firstLine="630" w:firstLineChars="3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2. </w:t>
      </w:r>
      <w:r>
        <w:rPr>
          <w:rFonts w:ascii="Times New Roman" w:hAnsi="宋体" w:eastAsia="宋体" w:cs="Times New Roman"/>
          <w:kern w:val="0"/>
          <w:szCs w:val="21"/>
        </w:rPr>
        <w:t>国企项目指中央和地方监管的国有（含国有控股）企业作为总承包单位的工程项目（标段）；</w:t>
      </w:r>
    </w:p>
    <w:p>
      <w:pPr>
        <w:widowControl/>
        <w:tabs>
          <w:tab w:val="left" w:pos="13816"/>
        </w:tabs>
        <w:adjustRightInd w:val="0"/>
        <w:snapToGrid w:val="0"/>
        <w:spacing w:line="360" w:lineRule="exact"/>
        <w:ind w:firstLine="630" w:firstLineChars="300"/>
        <w:jc w:val="left"/>
      </w:pPr>
      <w:r>
        <w:rPr>
          <w:rFonts w:ascii="Times New Roman" w:hAnsi="Times New Roman" w:eastAsia="宋体" w:cs="Times New Roman"/>
          <w:kern w:val="0"/>
          <w:szCs w:val="21"/>
        </w:rPr>
        <w:t xml:space="preserve">3. </w:t>
      </w:r>
      <w:r>
        <w:rPr>
          <w:rFonts w:ascii="Times New Roman" w:hAnsi="宋体" w:eastAsia="宋体" w:cs="Times New Roman"/>
          <w:kern w:val="0"/>
          <w:szCs w:val="21"/>
        </w:rPr>
        <w:t>其他情况中政府投资工程项目和国企项目有重合的分别单独统计。</w:t>
      </w:r>
    </w:p>
    <w:sectPr>
      <w:headerReference r:id="rId3" w:type="default"/>
      <w:footerReference r:id="rId4" w:type="default"/>
      <w:footerReference r:id="rId5" w:type="even"/>
      <w:pgSz w:w="16840" w:h="11907" w:orient="landscape"/>
      <w:pgMar w:top="1418" w:right="1531" w:bottom="1531" w:left="1531" w:header="709" w:footer="1361" w:gutter="0"/>
      <w:cols w:space="720" w:num="1"/>
      <w:docGrid w:linePitch="435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>—</w:t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9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>—</w:t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8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7ED6"/>
    <w:rsid w:val="2685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2021-08-04T05:51:00Z</dcterms:created>
  <dc:creator>橙香桃甜</dc:creator>
  <cp:lastModifiedBy>橙香桃甜</cp:lastModifiedBy>
  <dcterms:modified xsi:type="dcterms:W3CDTF">2021-08-04T05:52:32Z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AE6F2706513943C6A577DFD03382BA05</vt:lpwstr>
  </property>
</Properties>
</file>