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9D" w:rsidRDefault="003B0F40">
      <w:pPr>
        <w:spacing w:line="560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</w:t>
      </w:r>
      <w:r>
        <w:rPr>
          <w:rFonts w:ascii="黑体" w:eastAsia="黑体" w:hAnsi="黑体" w:cs="黑体" w:hint="eastAsia"/>
          <w:kern w:val="0"/>
        </w:rPr>
        <w:t>1</w:t>
      </w:r>
    </w:p>
    <w:p w:rsidR="0078679D" w:rsidRDefault="003B0F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行政村（社区）安全生产</w:t>
      </w:r>
      <w:r w:rsidR="005F72CA">
        <w:rPr>
          <w:rFonts w:ascii="方正小标宋简体" w:eastAsia="方正小标宋简体" w:cs="方正小标宋简体" w:hint="eastAsia"/>
          <w:sz w:val="44"/>
          <w:szCs w:val="44"/>
        </w:rPr>
        <w:t>管理</w:t>
      </w:r>
      <w:r>
        <w:rPr>
          <w:rFonts w:ascii="方正小标宋简体" w:eastAsia="方正小标宋简体" w:cs="方正小标宋简体" w:hint="eastAsia"/>
          <w:sz w:val="44"/>
          <w:szCs w:val="44"/>
        </w:rPr>
        <w:t>考核</w:t>
      </w:r>
      <w:r w:rsidR="00DA0091">
        <w:rPr>
          <w:rFonts w:ascii="方正小标宋简体" w:eastAsia="方正小标宋简体" w:cs="方正小标宋简体" w:hint="eastAsia"/>
          <w:sz w:val="44"/>
          <w:szCs w:val="44"/>
        </w:rPr>
        <w:t>评分表</w:t>
      </w:r>
    </w:p>
    <w:tbl>
      <w:tblPr>
        <w:tblW w:w="14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310"/>
        <w:gridCol w:w="1210"/>
        <w:gridCol w:w="5669"/>
        <w:gridCol w:w="4738"/>
        <w:gridCol w:w="1028"/>
      </w:tblGrid>
      <w:tr w:rsidR="0078679D">
        <w:trPr>
          <w:trHeight w:val="454"/>
          <w:tblHeader/>
          <w:jc w:val="center"/>
        </w:trPr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ind w:leftChars="-20" w:left="-60" w:rightChars="-20" w:right="-60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序号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项</w:t>
            </w:r>
            <w:r>
              <w:rPr>
                <w:rFonts w:eastAsia="黑体"/>
                <w:sz w:val="23"/>
                <w:szCs w:val="23"/>
              </w:rPr>
              <w:t xml:space="preserve"> </w:t>
            </w:r>
            <w:r>
              <w:rPr>
                <w:rFonts w:eastAsia="黑体" w:cs="黑体" w:hint="eastAsia"/>
                <w:sz w:val="23"/>
                <w:szCs w:val="23"/>
              </w:rPr>
              <w:t>目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考核内容</w:t>
            </w:r>
          </w:p>
        </w:tc>
        <w:tc>
          <w:tcPr>
            <w:tcW w:w="5669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考</w:t>
            </w:r>
            <w:r>
              <w:rPr>
                <w:rFonts w:eastAsia="黑体"/>
                <w:sz w:val="23"/>
                <w:szCs w:val="23"/>
              </w:rPr>
              <w:t xml:space="preserve"> </w:t>
            </w:r>
            <w:r>
              <w:rPr>
                <w:rFonts w:eastAsia="黑体" w:cs="黑体" w:hint="eastAsia"/>
                <w:sz w:val="23"/>
                <w:szCs w:val="23"/>
              </w:rPr>
              <w:t>核</w:t>
            </w:r>
            <w:r>
              <w:rPr>
                <w:rFonts w:eastAsia="黑体"/>
                <w:sz w:val="23"/>
                <w:szCs w:val="23"/>
              </w:rPr>
              <w:t xml:space="preserve"> </w:t>
            </w:r>
            <w:r>
              <w:rPr>
                <w:rFonts w:eastAsia="黑体" w:cs="黑体" w:hint="eastAsia"/>
                <w:sz w:val="23"/>
                <w:szCs w:val="23"/>
              </w:rPr>
              <w:t>标</w:t>
            </w:r>
            <w:r>
              <w:rPr>
                <w:rFonts w:eastAsia="黑体"/>
                <w:sz w:val="23"/>
                <w:szCs w:val="23"/>
              </w:rPr>
              <w:t xml:space="preserve"> </w:t>
            </w:r>
            <w:r>
              <w:rPr>
                <w:rFonts w:eastAsia="黑体" w:cs="黑体" w:hint="eastAsia"/>
                <w:sz w:val="23"/>
                <w:szCs w:val="23"/>
              </w:rPr>
              <w:t>准</w:t>
            </w:r>
          </w:p>
        </w:tc>
        <w:tc>
          <w:tcPr>
            <w:tcW w:w="4738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评</w:t>
            </w:r>
            <w:r>
              <w:rPr>
                <w:rFonts w:eastAsia="黑体"/>
                <w:sz w:val="23"/>
                <w:szCs w:val="23"/>
              </w:rPr>
              <w:t xml:space="preserve">  </w:t>
            </w:r>
            <w:r>
              <w:rPr>
                <w:rFonts w:eastAsia="黑体" w:cs="黑体" w:hint="eastAsia"/>
                <w:sz w:val="23"/>
                <w:szCs w:val="23"/>
              </w:rPr>
              <w:t>分</w:t>
            </w:r>
            <w:r>
              <w:rPr>
                <w:rFonts w:eastAsia="黑体"/>
                <w:sz w:val="23"/>
                <w:szCs w:val="23"/>
              </w:rPr>
              <w:t xml:space="preserve">  </w:t>
            </w:r>
            <w:r>
              <w:rPr>
                <w:rFonts w:eastAsia="黑体" w:cs="黑体" w:hint="eastAsia"/>
                <w:sz w:val="23"/>
                <w:szCs w:val="23"/>
              </w:rPr>
              <w:t>办</w:t>
            </w:r>
            <w:r>
              <w:rPr>
                <w:rFonts w:eastAsia="黑体"/>
                <w:sz w:val="23"/>
                <w:szCs w:val="23"/>
              </w:rPr>
              <w:t xml:space="preserve">  </w:t>
            </w:r>
            <w:r>
              <w:rPr>
                <w:rFonts w:eastAsia="黑体" w:cs="黑体" w:hint="eastAsia"/>
                <w:sz w:val="23"/>
                <w:szCs w:val="23"/>
              </w:rPr>
              <w:t>法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黑体"/>
                <w:sz w:val="23"/>
                <w:szCs w:val="23"/>
              </w:rPr>
            </w:pPr>
            <w:r>
              <w:rPr>
                <w:rFonts w:eastAsia="黑体" w:cs="黑体" w:hint="eastAsia"/>
                <w:sz w:val="23"/>
                <w:szCs w:val="23"/>
              </w:rPr>
              <w:t>得分</w:t>
            </w: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 w:val="restart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一</w:t>
            </w:r>
          </w:p>
        </w:tc>
        <w:tc>
          <w:tcPr>
            <w:tcW w:w="1310" w:type="dxa"/>
            <w:vMerge w:val="restart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机制建设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15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综合工作（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、有年度安全生产工作要点和年终工作总结；</w:t>
            </w:r>
          </w:p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、每季度至少召开一次有村主要负责人参加的安全生产专题会议，有会议记录或纪要，对存在的安全生产突出问题及时研究解决。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、无年度安全生产工作要点、年终工作总结的，缺一项，扣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</w:t>
            </w:r>
          </w:p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、无会议记录或纪要的，缺一次扣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分；针对安全生产突出问题未进行研究解决的，扣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分；村主要负责人未参加的扣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ind w:left="186" w:hanging="186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/>
            <w:vAlign w:val="center"/>
          </w:tcPr>
          <w:p w:rsidR="0078679D" w:rsidRDefault="0078679D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310" w:type="dxa"/>
            <w:vMerge/>
            <w:vAlign w:val="center"/>
          </w:tcPr>
          <w:p w:rsidR="0078679D" w:rsidRDefault="0078679D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健全网络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督促辖区内生产经营单位依法依规建立安全管理机构或配备专（兼）职安全管理人员，报村（社区）备案</w:t>
            </w:r>
            <w:r>
              <w:rPr>
                <w:rFonts w:eastAsia="楷体_GB2312" w:cs="楷体_GB2312" w:hint="eastAsia"/>
                <w:spacing w:val="-6"/>
                <w:sz w:val="23"/>
                <w:szCs w:val="23"/>
              </w:rPr>
              <w:t>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未督促企业依法依规建立安全管理机构或配备专（兼）职安全管理人员的，每少</w:t>
            </w:r>
            <w:r>
              <w:rPr>
                <w:rFonts w:eastAsia="楷体_GB2312"/>
                <w:sz w:val="23"/>
                <w:szCs w:val="23"/>
              </w:rPr>
              <w:t>15%</w:t>
            </w:r>
            <w:r>
              <w:rPr>
                <w:rFonts w:eastAsia="楷体_GB2312" w:cs="楷体_GB2312" w:hint="eastAsia"/>
                <w:sz w:val="23"/>
                <w:szCs w:val="23"/>
              </w:rPr>
              <w:t>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分（以备案为准）。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ind w:left="186" w:hanging="186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/>
            <w:vAlign w:val="center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310" w:type="dxa"/>
            <w:vMerge/>
            <w:vAlign w:val="center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落实责任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pacing w:val="-4"/>
                <w:sz w:val="23"/>
                <w:szCs w:val="23"/>
              </w:rPr>
            </w:pPr>
            <w:r>
              <w:rPr>
                <w:rFonts w:eastAsia="楷体_GB2312" w:cs="楷体_GB2312" w:hint="eastAsia"/>
                <w:spacing w:val="-4"/>
                <w:sz w:val="23"/>
                <w:szCs w:val="23"/>
              </w:rPr>
              <w:t>督促辖区内生产经营单位</w:t>
            </w:r>
            <w:r>
              <w:rPr>
                <w:rFonts w:eastAsia="楷体_GB2312"/>
                <w:spacing w:val="-4"/>
                <w:sz w:val="23"/>
                <w:szCs w:val="23"/>
              </w:rPr>
              <w:t>100%</w:t>
            </w:r>
            <w:r>
              <w:rPr>
                <w:rFonts w:eastAsia="楷体_GB2312" w:cs="楷体_GB2312" w:hint="eastAsia"/>
                <w:spacing w:val="-4"/>
                <w:sz w:val="23"/>
                <w:szCs w:val="23"/>
              </w:rPr>
              <w:t>签订安全生产责任书或告知承诺书（包括上级部署的各类安全生产专项行动告知书），并回收回执。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安全生产责任书或告知承诺书，每少签订</w:t>
            </w:r>
            <w:r>
              <w:rPr>
                <w:rFonts w:eastAsia="楷体_GB2312"/>
                <w:sz w:val="23"/>
                <w:szCs w:val="23"/>
              </w:rPr>
              <w:t>5%</w:t>
            </w:r>
            <w:r>
              <w:rPr>
                <w:rFonts w:eastAsia="楷体_GB2312" w:cs="楷体_GB2312" w:hint="eastAsia"/>
                <w:sz w:val="23"/>
                <w:szCs w:val="23"/>
              </w:rPr>
              <w:t>扣</w:t>
            </w: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分。（以回执为准）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ind w:left="186" w:hanging="186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 w:val="restart"/>
            <w:vAlign w:val="center"/>
          </w:tcPr>
          <w:p w:rsidR="0078679D" w:rsidRDefault="003B0F40">
            <w:pPr>
              <w:spacing w:line="320" w:lineRule="exact"/>
              <w:ind w:firstLineChars="50" w:firstLine="106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二</w:t>
            </w:r>
          </w:p>
        </w:tc>
        <w:tc>
          <w:tcPr>
            <w:tcW w:w="1310" w:type="dxa"/>
            <w:vMerge w:val="restart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重点工作（</w:t>
            </w:r>
            <w:r>
              <w:rPr>
                <w:rFonts w:eastAsia="楷体_GB2312"/>
                <w:sz w:val="23"/>
                <w:szCs w:val="23"/>
              </w:rPr>
              <w:t>30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1210" w:type="dxa"/>
            <w:vAlign w:val="center"/>
          </w:tcPr>
          <w:p w:rsidR="0078679D" w:rsidRDefault="0078679D" w:rsidP="00DA0091">
            <w:pPr>
              <w:spacing w:line="320" w:lineRule="exact"/>
              <w:ind w:leftChars="544" w:left="1641" w:firstLineChars="303" w:firstLine="641"/>
              <w:jc w:val="center"/>
              <w:rPr>
                <w:rFonts w:eastAsia="楷体_GB2312"/>
                <w:sz w:val="23"/>
                <w:szCs w:val="23"/>
              </w:rPr>
            </w:pP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企业监管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15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、掌握辖区内企业基本情况，依托</w:t>
            </w:r>
            <w:r>
              <w:rPr>
                <w:rFonts w:eastAsia="楷体_GB2312" w:cs="楷体_GB2312" w:hint="eastAsia"/>
                <w:sz w:val="23"/>
                <w:szCs w:val="23"/>
              </w:rPr>
              <w:t>常州市</w:t>
            </w:r>
            <w:r>
              <w:rPr>
                <w:rFonts w:eastAsia="楷体_GB2312" w:cs="楷体_GB2312" w:hint="eastAsia"/>
                <w:sz w:val="23"/>
                <w:szCs w:val="23"/>
              </w:rPr>
              <w:t>安全生产</w:t>
            </w:r>
            <w:r>
              <w:rPr>
                <w:rFonts w:eastAsia="楷体_GB2312" w:cs="楷体_GB2312" w:hint="eastAsia"/>
                <w:sz w:val="23"/>
                <w:szCs w:val="23"/>
              </w:rPr>
              <w:t>监督管理信息</w:t>
            </w:r>
            <w:r>
              <w:rPr>
                <w:rFonts w:eastAsia="楷体_GB2312" w:cs="楷体_GB2312" w:hint="eastAsia"/>
                <w:sz w:val="23"/>
                <w:szCs w:val="23"/>
              </w:rPr>
              <w:t>系统建立辖区内所有生产经营单位的安全生产管理基本信息库（包括证照情况、基本信息、特种作业人员等情况），及时更新内容；</w:t>
            </w:r>
          </w:p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、督促辖区内相关企业做好事故隐患自查自报工作；</w:t>
            </w:r>
          </w:p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3</w:t>
            </w:r>
            <w:r>
              <w:rPr>
                <w:rFonts w:eastAsia="楷体_GB2312" w:cs="楷体_GB2312" w:hint="eastAsia"/>
                <w:sz w:val="23"/>
                <w:szCs w:val="23"/>
              </w:rPr>
              <w:t>、协助镇、开发区、街道安监科做好标准化建设推进工作。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pacing w:val="-6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</w:t>
            </w:r>
            <w:r>
              <w:rPr>
                <w:rFonts w:eastAsia="楷体_GB2312" w:cs="楷体_GB2312" w:hint="eastAsia"/>
                <w:sz w:val="23"/>
                <w:szCs w:val="23"/>
              </w:rPr>
              <w:t>常州市</w:t>
            </w:r>
            <w:r>
              <w:rPr>
                <w:rFonts w:eastAsia="楷体_GB2312" w:cs="楷体_GB2312" w:hint="eastAsia"/>
                <w:sz w:val="23"/>
                <w:szCs w:val="23"/>
              </w:rPr>
              <w:t>安全生产</w:t>
            </w:r>
            <w:r>
              <w:rPr>
                <w:rFonts w:eastAsia="楷体_GB2312" w:cs="楷体_GB2312" w:hint="eastAsia"/>
                <w:sz w:val="23"/>
                <w:szCs w:val="23"/>
              </w:rPr>
              <w:t>监督管理信息</w:t>
            </w:r>
            <w:r>
              <w:rPr>
                <w:rFonts w:eastAsia="楷体_GB2312" w:cs="楷体_GB2312" w:hint="eastAsia"/>
                <w:sz w:val="23"/>
                <w:szCs w:val="23"/>
              </w:rPr>
              <w:t>系统</w:t>
            </w:r>
            <w:r>
              <w:rPr>
                <w:rFonts w:eastAsia="楷体_GB2312" w:cs="楷体_GB2312" w:hint="eastAsia"/>
                <w:spacing w:val="-6"/>
                <w:sz w:val="23"/>
                <w:szCs w:val="23"/>
              </w:rPr>
              <w:t>中生产经营单位不全的，每少</w:t>
            </w:r>
            <w:r>
              <w:rPr>
                <w:rFonts w:eastAsia="楷体_GB2312"/>
                <w:spacing w:val="-6"/>
                <w:sz w:val="23"/>
                <w:szCs w:val="23"/>
              </w:rPr>
              <w:t>5%</w:t>
            </w:r>
            <w:r>
              <w:rPr>
                <w:rFonts w:eastAsia="楷体_GB2312" w:cs="楷体_GB2312" w:hint="eastAsia"/>
                <w:spacing w:val="-6"/>
                <w:sz w:val="23"/>
                <w:szCs w:val="23"/>
              </w:rPr>
              <w:t>扣</w:t>
            </w:r>
            <w:r>
              <w:rPr>
                <w:rFonts w:eastAsia="楷体_GB2312"/>
                <w:spacing w:val="-6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pacing w:val="-6"/>
                <w:sz w:val="23"/>
                <w:szCs w:val="23"/>
              </w:rPr>
              <w:t>分；</w:t>
            </w:r>
          </w:p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、辖区内已纳入隐患排查治理信息系统的企业，未按要求开展隐患排查自查自报工作的，每少</w:t>
            </w:r>
            <w:r>
              <w:rPr>
                <w:rFonts w:eastAsia="楷体_GB2312"/>
                <w:sz w:val="23"/>
                <w:szCs w:val="23"/>
              </w:rPr>
              <w:t>5%</w:t>
            </w:r>
            <w:r>
              <w:rPr>
                <w:rFonts w:eastAsia="楷体_GB2312" w:cs="楷体_GB2312" w:hint="eastAsia"/>
                <w:sz w:val="23"/>
                <w:szCs w:val="23"/>
              </w:rPr>
              <w:t>扣</w:t>
            </w: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</w:t>
            </w:r>
          </w:p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3</w:t>
            </w:r>
            <w:r>
              <w:rPr>
                <w:rFonts w:eastAsia="楷体_GB2312" w:cs="楷体_GB2312" w:hint="eastAsia"/>
                <w:sz w:val="23"/>
                <w:szCs w:val="23"/>
              </w:rPr>
              <w:t>、协助镇、开发区、街道安监科每推进一家标准化签约企业加</w:t>
            </w: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分，加分最多不超过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ind w:left="186" w:hanging="186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/>
            <w:vAlign w:val="center"/>
          </w:tcPr>
          <w:p w:rsidR="0078679D" w:rsidRDefault="0078679D">
            <w:pPr>
              <w:spacing w:line="320" w:lineRule="exact"/>
              <w:ind w:firstLineChars="50" w:firstLine="106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310" w:type="dxa"/>
            <w:vMerge/>
            <w:vAlign w:val="center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ind w:firstLineChars="50" w:firstLine="106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安全检查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15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、定期开展辖区安全生产日常巡查和重大活动、节假日重点巡查工作，发现问题和隐患及时处置或上报。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、未开展日常巡查扣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分，未开展重大活动、节假日重点巡查工作扣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分，未及时上报问题或隐患扣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ind w:left="186" w:hanging="186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 w:val="restart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lastRenderedPageBreak/>
              <w:t>三</w:t>
            </w:r>
          </w:p>
        </w:tc>
        <w:tc>
          <w:tcPr>
            <w:tcW w:w="1310" w:type="dxa"/>
            <w:vMerge w:val="restart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宣教培训（</w:t>
            </w:r>
            <w:r>
              <w:rPr>
                <w:rFonts w:eastAsia="楷体_GB2312"/>
                <w:sz w:val="23"/>
                <w:szCs w:val="23"/>
              </w:rPr>
              <w:t>15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安全培训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10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tabs>
                <w:tab w:val="left" w:pos="8"/>
              </w:tabs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、建立培训台账，督促辖区内企业主要负责人、安全生产管理人员、特种作业人员</w:t>
            </w:r>
            <w:r>
              <w:rPr>
                <w:rFonts w:eastAsia="楷体_GB2312"/>
                <w:sz w:val="23"/>
                <w:szCs w:val="23"/>
              </w:rPr>
              <w:t>100%</w:t>
            </w:r>
            <w:r>
              <w:rPr>
                <w:rFonts w:eastAsia="楷体_GB2312" w:cs="楷体_GB2312" w:hint="eastAsia"/>
                <w:sz w:val="23"/>
                <w:szCs w:val="23"/>
              </w:rPr>
              <w:t>培训合格持证上岗；</w:t>
            </w:r>
          </w:p>
          <w:p w:rsidR="0078679D" w:rsidRDefault="003B0F40">
            <w:pPr>
              <w:tabs>
                <w:tab w:val="left" w:pos="8"/>
              </w:tabs>
              <w:spacing w:line="320" w:lineRule="exact"/>
              <w:ind w:left="35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、督促辖区内企业开展全员安全培训。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tabs>
                <w:tab w:val="left" w:pos="8"/>
              </w:tabs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、未建立培训台账的，扣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分；未督促辖区内企业主要负责人、安全生产管理人员、特种作业人员参加培训考核的每少</w:t>
            </w:r>
            <w:r>
              <w:rPr>
                <w:rFonts w:eastAsia="楷体_GB2312"/>
                <w:sz w:val="23"/>
                <w:szCs w:val="23"/>
              </w:rPr>
              <w:t>5%</w:t>
            </w:r>
            <w:r>
              <w:rPr>
                <w:rFonts w:eastAsia="楷体_GB2312" w:cs="楷体_GB2312" w:hint="eastAsia"/>
                <w:sz w:val="23"/>
                <w:szCs w:val="23"/>
              </w:rPr>
              <w:t>扣</w:t>
            </w: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分（以培训通知、通知需发放企业数及回执为准）；</w:t>
            </w:r>
          </w:p>
          <w:p w:rsidR="0078679D" w:rsidRDefault="003B0F40">
            <w:pPr>
              <w:tabs>
                <w:tab w:val="left" w:pos="8"/>
              </w:tabs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、未督促企业开展全员安全培训的，每少</w:t>
            </w:r>
            <w:r>
              <w:rPr>
                <w:rFonts w:eastAsia="楷体_GB2312"/>
                <w:sz w:val="23"/>
                <w:szCs w:val="23"/>
              </w:rPr>
              <w:t>5%</w:t>
            </w:r>
            <w:r>
              <w:rPr>
                <w:rFonts w:eastAsia="楷体_GB2312" w:cs="楷体_GB2312" w:hint="eastAsia"/>
                <w:sz w:val="23"/>
                <w:szCs w:val="23"/>
              </w:rPr>
              <w:t>扣</w:t>
            </w: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分（以培训通知、通知需发放企业数及回执为准）。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Merge/>
            <w:vAlign w:val="center"/>
          </w:tcPr>
          <w:p w:rsidR="0078679D" w:rsidRDefault="0078679D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310" w:type="dxa"/>
            <w:vMerge/>
            <w:vAlign w:val="center"/>
          </w:tcPr>
          <w:p w:rsidR="0078679D" w:rsidRDefault="0078679D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ind w:firstLineChars="50" w:firstLine="106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宣传教育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tabs>
                <w:tab w:val="left" w:pos="8"/>
              </w:tabs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利用辖区内宣传栏、橱窗、公益广告牌、电子屏等，宣传安全生产方针政策、法律法规及安全知识，并每季度更换宣传内容。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未开展安全生产宣传的，扣</w:t>
            </w:r>
            <w:r>
              <w:rPr>
                <w:rFonts w:eastAsia="楷体_GB2312"/>
                <w:sz w:val="23"/>
                <w:szCs w:val="23"/>
              </w:rPr>
              <w:t>5</w:t>
            </w:r>
            <w:r>
              <w:rPr>
                <w:rFonts w:eastAsia="楷体_GB2312" w:cs="楷体_GB2312" w:hint="eastAsia"/>
                <w:sz w:val="23"/>
                <w:szCs w:val="23"/>
              </w:rPr>
              <w:t>分；内容未定期进行更换的，扣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分。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四</w:t>
            </w:r>
          </w:p>
        </w:tc>
        <w:tc>
          <w:tcPr>
            <w:tcW w:w="1310" w:type="dxa"/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日常工作</w:t>
            </w:r>
          </w:p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（</w:t>
            </w:r>
            <w:r>
              <w:rPr>
                <w:rFonts w:eastAsia="楷体_GB2312"/>
                <w:sz w:val="23"/>
                <w:szCs w:val="23"/>
              </w:rPr>
              <w:t>40</w:t>
            </w:r>
            <w:r>
              <w:rPr>
                <w:rFonts w:eastAsia="楷体_GB2312" w:cs="楷体_GB2312" w:hint="eastAsia"/>
                <w:sz w:val="23"/>
                <w:szCs w:val="23"/>
              </w:rPr>
              <w:t>分）</w:t>
            </w:r>
          </w:p>
        </w:tc>
        <w:tc>
          <w:tcPr>
            <w:tcW w:w="1210" w:type="dxa"/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由镇（开发区、街道）安监部门确定</w:t>
            </w:r>
          </w:p>
        </w:tc>
        <w:tc>
          <w:tcPr>
            <w:tcW w:w="5669" w:type="dxa"/>
            <w:vAlign w:val="center"/>
          </w:tcPr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完成镇（开发区、街道）安监部门交办的各项工作任务。</w:t>
            </w:r>
          </w:p>
        </w:tc>
        <w:tc>
          <w:tcPr>
            <w:tcW w:w="4738" w:type="dxa"/>
            <w:vAlign w:val="center"/>
          </w:tcPr>
          <w:p w:rsidR="0078679D" w:rsidRDefault="003B0F40">
            <w:pPr>
              <w:spacing w:line="320" w:lineRule="exact"/>
              <w:jc w:val="lef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未按要求完成的，视情扣分。</w:t>
            </w:r>
          </w:p>
        </w:tc>
        <w:tc>
          <w:tcPr>
            <w:tcW w:w="1028" w:type="dxa"/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</w:tr>
      <w:tr w:rsidR="0078679D">
        <w:trPr>
          <w:trHeight w:val="567"/>
          <w:jc w:val="center"/>
        </w:trPr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五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事故情况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jc w:val="center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事故控制</w:t>
            </w:r>
          </w:p>
        </w:tc>
        <w:tc>
          <w:tcPr>
            <w:tcW w:w="5669" w:type="dxa"/>
            <w:tcBorders>
              <w:bottom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 w:cs="楷体_GB2312" w:hint="eastAsia"/>
                <w:sz w:val="23"/>
                <w:szCs w:val="23"/>
              </w:rPr>
              <w:t>杜绝一般安全生产事故。</w:t>
            </w:r>
          </w:p>
        </w:tc>
        <w:tc>
          <w:tcPr>
            <w:tcW w:w="4738" w:type="dxa"/>
            <w:tcBorders>
              <w:bottom w:val="single" w:sz="12" w:space="0" w:color="auto"/>
            </w:tcBorders>
            <w:vAlign w:val="center"/>
          </w:tcPr>
          <w:p w:rsidR="0078679D" w:rsidRDefault="003B0F40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  <w:r>
              <w:rPr>
                <w:rFonts w:eastAsia="楷体_GB2312"/>
                <w:sz w:val="23"/>
                <w:szCs w:val="23"/>
              </w:rPr>
              <w:t>1</w:t>
            </w:r>
            <w:r>
              <w:rPr>
                <w:rFonts w:eastAsia="楷体_GB2312" w:cs="楷体_GB2312" w:hint="eastAsia"/>
                <w:sz w:val="23"/>
                <w:szCs w:val="23"/>
              </w:rPr>
              <w:t>、辖区内发生亡人生产安全责任一般事故（死亡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人以下，含</w:t>
            </w:r>
            <w:r>
              <w:rPr>
                <w:rFonts w:eastAsia="楷体_GB2312"/>
                <w:sz w:val="23"/>
                <w:szCs w:val="23"/>
              </w:rPr>
              <w:t>2</w:t>
            </w:r>
            <w:r>
              <w:rPr>
                <w:rFonts w:eastAsia="楷体_GB2312" w:cs="楷体_GB2312" w:hint="eastAsia"/>
                <w:sz w:val="23"/>
                <w:szCs w:val="23"/>
              </w:rPr>
              <w:t>人），年度考核不得评为优秀等次；发生较大以上事故或累计死亡</w:t>
            </w:r>
            <w:r>
              <w:rPr>
                <w:rFonts w:eastAsia="楷体_GB2312"/>
                <w:sz w:val="23"/>
                <w:szCs w:val="23"/>
              </w:rPr>
              <w:t>3</w:t>
            </w:r>
            <w:r>
              <w:rPr>
                <w:rFonts w:eastAsia="楷体_GB2312" w:cs="楷体_GB2312" w:hint="eastAsia"/>
                <w:sz w:val="23"/>
                <w:szCs w:val="23"/>
              </w:rPr>
              <w:t>人及以上的，考核评定为不合格等次。</w:t>
            </w:r>
          </w:p>
        </w:tc>
        <w:tc>
          <w:tcPr>
            <w:tcW w:w="1028" w:type="dxa"/>
            <w:tcBorders>
              <w:bottom w:val="single" w:sz="12" w:space="0" w:color="auto"/>
            </w:tcBorders>
          </w:tcPr>
          <w:p w:rsidR="0078679D" w:rsidRDefault="0078679D">
            <w:pPr>
              <w:spacing w:line="320" w:lineRule="exact"/>
              <w:rPr>
                <w:rFonts w:eastAsia="楷体_GB2312"/>
                <w:sz w:val="23"/>
                <w:szCs w:val="23"/>
              </w:rPr>
            </w:pPr>
          </w:p>
        </w:tc>
      </w:tr>
    </w:tbl>
    <w:p w:rsidR="0078679D" w:rsidRDefault="003B0F40">
      <w:pPr>
        <w:rPr>
          <w:rFonts w:ascii="楷体_GB2312" w:eastAsia="楷体_GB2312"/>
          <w:sz w:val="23"/>
          <w:szCs w:val="23"/>
        </w:rPr>
      </w:pPr>
      <w:r>
        <w:rPr>
          <w:rFonts w:ascii="楷体_GB2312" w:eastAsia="楷体_GB2312" w:cs="楷体_GB2312" w:hint="eastAsia"/>
          <w:sz w:val="23"/>
          <w:szCs w:val="23"/>
        </w:rPr>
        <w:t>注：有特色亮点工作的，每一项加</w:t>
      </w:r>
      <w:r>
        <w:rPr>
          <w:rFonts w:ascii="楷体_GB2312" w:eastAsia="楷体_GB2312" w:cs="楷体_GB2312"/>
          <w:sz w:val="23"/>
          <w:szCs w:val="23"/>
        </w:rPr>
        <w:t>2</w:t>
      </w:r>
      <w:r>
        <w:rPr>
          <w:rFonts w:ascii="楷体_GB2312" w:eastAsia="楷体_GB2312" w:cs="楷体_GB2312" w:hint="eastAsia"/>
          <w:sz w:val="23"/>
          <w:szCs w:val="23"/>
        </w:rPr>
        <w:t>分，最多不超过</w:t>
      </w:r>
      <w:r>
        <w:rPr>
          <w:rFonts w:ascii="楷体_GB2312" w:eastAsia="楷体_GB2312" w:cs="楷体_GB2312"/>
          <w:sz w:val="23"/>
          <w:szCs w:val="23"/>
        </w:rPr>
        <w:t>5</w:t>
      </w:r>
      <w:r>
        <w:rPr>
          <w:rFonts w:ascii="楷体_GB2312" w:eastAsia="楷体_GB2312" w:cs="楷体_GB2312" w:hint="eastAsia"/>
          <w:sz w:val="23"/>
          <w:szCs w:val="23"/>
        </w:rPr>
        <w:t>分。</w:t>
      </w:r>
    </w:p>
    <w:p w:rsidR="0078679D" w:rsidRDefault="0078679D">
      <w:pPr>
        <w:rPr>
          <w:rFonts w:hint="eastAsia"/>
        </w:rPr>
      </w:pPr>
    </w:p>
    <w:p w:rsidR="00DA0091" w:rsidRPr="005F72CA" w:rsidRDefault="00DA0091">
      <w:r>
        <w:rPr>
          <w:rFonts w:hint="eastAsia"/>
        </w:rPr>
        <w:t>考核时间：</w:t>
      </w:r>
      <w:r w:rsidRPr="005F72CA">
        <w:rPr>
          <w:u w:val="single"/>
        </w:rPr>
        <w:softHyphen/>
      </w:r>
      <w:r w:rsidRPr="005F72CA">
        <w:rPr>
          <w:rFonts w:hint="eastAsia"/>
          <w:u w:val="single"/>
        </w:rPr>
        <w:softHyphen/>
      </w:r>
      <w:r w:rsidRPr="005F72CA">
        <w:rPr>
          <w:rFonts w:hint="eastAsia"/>
          <w:u w:val="single"/>
        </w:rPr>
        <w:softHyphen/>
      </w:r>
      <w:r w:rsidRPr="005F72CA">
        <w:rPr>
          <w:rFonts w:hint="eastAsia"/>
          <w:u w:val="single"/>
        </w:rPr>
        <w:softHyphen/>
        <w:t xml:space="preserve">                           </w:t>
      </w:r>
      <w:r w:rsidR="005F72CA">
        <w:rPr>
          <w:rFonts w:hint="eastAsia"/>
        </w:rPr>
        <w:t xml:space="preserve">         </w:t>
      </w:r>
      <w:r>
        <w:rPr>
          <w:rFonts w:hint="eastAsia"/>
        </w:rPr>
        <w:t xml:space="preserve">   </w:t>
      </w:r>
      <w:r>
        <w:rPr>
          <w:rFonts w:hint="eastAsia"/>
        </w:rPr>
        <w:t>考核人员（签名或盖章）：</w:t>
      </w:r>
      <w:r w:rsidR="005F72CA" w:rsidRPr="005F72CA">
        <w:rPr>
          <w:rFonts w:hint="eastAsia"/>
          <w:u w:val="single"/>
        </w:rPr>
        <w:t xml:space="preserve">          </w:t>
      </w:r>
      <w:r w:rsidR="005F72CA">
        <w:rPr>
          <w:rFonts w:hint="eastAsia"/>
          <w:u w:val="single"/>
        </w:rPr>
        <w:t xml:space="preserve">            </w:t>
      </w:r>
      <w:r w:rsidR="005F72CA" w:rsidRPr="005F72CA">
        <w:rPr>
          <w:rFonts w:hint="eastAsia"/>
          <w:u w:val="single"/>
        </w:rPr>
        <w:t xml:space="preserve"> </w:t>
      </w:r>
      <w:r w:rsidR="005F72CA" w:rsidRPr="005F72CA">
        <w:rPr>
          <w:rFonts w:hint="eastAsia"/>
        </w:rPr>
        <w:t xml:space="preserve">  </w:t>
      </w:r>
    </w:p>
    <w:sectPr w:rsidR="00DA0091" w:rsidRPr="005F72CA" w:rsidSect="0078679D">
      <w:headerReference w:type="default" r:id="rId7"/>
      <w:footerReference w:type="default" r:id="rId8"/>
      <w:pgSz w:w="16838" w:h="11906" w:orient="landscape"/>
      <w:pgMar w:top="1701" w:right="1418" w:bottom="1134" w:left="1418" w:header="1134" w:footer="1134" w:gutter="0"/>
      <w:cols w:space="720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40" w:rsidRDefault="003B0F40" w:rsidP="0078679D">
      <w:r>
        <w:separator/>
      </w:r>
    </w:p>
  </w:endnote>
  <w:endnote w:type="continuationSeparator" w:id="0">
    <w:p w:rsidR="003B0F40" w:rsidRDefault="003B0F40" w:rsidP="0078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9D" w:rsidRDefault="0078679D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r w:rsidRPr="0078679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8679D" w:rsidRDefault="003B0F40">
                <w:pPr>
                  <w:pStyle w:val="a3"/>
                  <w:wordWrap w:val="0"/>
                  <w:jc w:val="right"/>
                </w:pPr>
                <w:r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t xml:space="preserve">- </w:t>
                </w:r>
                <w:r w:rsidR="0078679D"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instrText xml:space="preserve"> PAGE </w:instrText>
                </w:r>
                <w:r w:rsidR="0078679D"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kern w:val="0"/>
                    <w:sz w:val="28"/>
                    <w:szCs w:val="28"/>
                  </w:rPr>
                  <w:t>1</w:t>
                </w:r>
                <w:r w:rsidR="0078679D"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kern w:val="0"/>
                    <w:sz w:val="28"/>
                    <w:szCs w:val="28"/>
                  </w:rPr>
                  <w:t xml:space="preserve"> -</w:t>
                </w:r>
                <w:r>
                  <w:rPr>
                    <w:rFonts w:ascii="宋体" w:eastAsia="宋体" w:hAnsi="宋体" w:cs="宋体" w:hint="eastAsia"/>
                    <w:kern w:val="0"/>
                    <w:sz w:val="28"/>
                    <w:szCs w:val="28"/>
                  </w:rPr>
                  <w:t xml:space="preserve">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40" w:rsidRDefault="003B0F40" w:rsidP="0078679D">
      <w:r>
        <w:separator/>
      </w:r>
    </w:p>
  </w:footnote>
  <w:footnote w:type="continuationSeparator" w:id="0">
    <w:p w:rsidR="003B0F40" w:rsidRDefault="003B0F40" w:rsidP="00786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9D" w:rsidRDefault="0078679D">
    <w:pPr>
      <w:pStyle w:val="a4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79D"/>
    <w:rsid w:val="003B0F40"/>
    <w:rsid w:val="005F72CA"/>
    <w:rsid w:val="0078679D"/>
    <w:rsid w:val="00BD5B6C"/>
    <w:rsid w:val="00DA0091"/>
    <w:rsid w:val="63A75F39"/>
    <w:rsid w:val="7AC1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79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86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8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2014-10-29T12:08:00Z</dcterms:created>
  <dcterms:modified xsi:type="dcterms:W3CDTF">2019-11-29T02:19:00Z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