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right"/>
        <w:rPr>
          <w:rFonts w:ascii="黑体" w:hAnsi="黑体" w:eastAsia="黑体"/>
          <w:sz w:val="52"/>
        </w:rPr>
      </w:pPr>
    </w:p>
    <w:p>
      <w:pPr>
        <w:jc w:val="center"/>
        <w:rPr>
          <w:rFonts w:ascii="黑体" w:hAnsi="黑体" w:eastAsia="黑体"/>
          <w:sz w:val="52"/>
        </w:rPr>
      </w:pPr>
    </w:p>
    <w:p>
      <w:pPr>
        <w:jc w:val="center"/>
        <w:rPr>
          <w:rFonts w:ascii="黑体" w:hAnsi="黑体" w:eastAsia="黑体"/>
          <w:sz w:val="52"/>
        </w:rPr>
      </w:pPr>
    </w:p>
    <w:p>
      <w:pPr>
        <w:jc w:val="center"/>
        <w:rPr>
          <w:rFonts w:ascii="黑体" w:hAnsi="黑体" w:eastAsia="黑体"/>
          <w:sz w:val="52"/>
        </w:rPr>
      </w:pPr>
    </w:p>
    <w:p>
      <w:pPr>
        <w:widowControl/>
        <w:ind w:firstLine="0"/>
        <w:jc w:val="center"/>
        <w:rPr>
          <w:rFonts w:ascii="黑体" w:hAnsi="黑体" w:eastAsia="黑体"/>
          <w:sz w:val="48"/>
        </w:rPr>
      </w:pPr>
      <w:r>
        <w:rPr>
          <w:rFonts w:hint="eastAsia" w:ascii="黑体" w:hAnsi="黑体" w:eastAsia="黑体"/>
          <w:sz w:val="48"/>
        </w:rPr>
        <w:t>常州市信用报告查询打印</w:t>
      </w:r>
    </w:p>
    <w:p>
      <w:pPr>
        <w:jc w:val="center"/>
        <w:rPr>
          <w:rFonts w:ascii="黑体" w:hAnsi="黑体" w:eastAsia="黑体"/>
          <w:sz w:val="48"/>
        </w:rPr>
      </w:pPr>
    </w:p>
    <w:p>
      <w:pPr>
        <w:jc w:val="center"/>
        <w:rPr>
          <w:rFonts w:ascii="黑体" w:hAnsi="黑体" w:eastAsia="黑体"/>
          <w:sz w:val="48"/>
        </w:rPr>
      </w:pPr>
      <w:r>
        <w:rPr>
          <w:rFonts w:hint="eastAsia" w:ascii="黑体" w:hAnsi="黑体" w:eastAsia="黑体"/>
          <w:sz w:val="48"/>
        </w:rPr>
        <w:t>（自助服务一体机）</w:t>
      </w:r>
    </w:p>
    <w:p>
      <w:pPr>
        <w:jc w:val="center"/>
        <w:rPr>
          <w:rFonts w:ascii="黑体" w:hAnsi="黑体" w:eastAsia="黑体"/>
          <w:sz w:val="48"/>
        </w:rPr>
      </w:pPr>
    </w:p>
    <w:p>
      <w:pPr>
        <w:jc w:val="center"/>
        <w:rPr>
          <w:rFonts w:ascii="黑体" w:hAnsi="黑体" w:eastAsia="黑体"/>
          <w:sz w:val="48"/>
        </w:rPr>
      </w:pPr>
      <w:r>
        <w:rPr>
          <w:rFonts w:hint="eastAsia" w:ascii="黑体" w:hAnsi="黑体" w:eastAsia="黑体"/>
          <w:sz w:val="48"/>
        </w:rPr>
        <w:t>用户操作手册</w:t>
      </w:r>
    </w:p>
    <w:p>
      <w:pPr>
        <w:jc w:val="center"/>
        <w:rPr>
          <w:rFonts w:ascii="黑体" w:hAnsi="黑体" w:eastAsia="黑体"/>
          <w:sz w:val="44"/>
        </w:rPr>
      </w:pPr>
    </w:p>
    <w:p>
      <w:pPr>
        <w:jc w:val="center"/>
        <w:rPr>
          <w:rFonts w:ascii="黑体" w:hAnsi="黑体" w:eastAsia="黑体"/>
          <w:sz w:val="44"/>
        </w:rPr>
      </w:pPr>
    </w:p>
    <w:p>
      <w:pPr>
        <w:jc w:val="center"/>
        <w:rPr>
          <w:rFonts w:ascii="黑体" w:hAnsi="黑体" w:eastAsia="黑体"/>
          <w:sz w:val="44"/>
        </w:rPr>
      </w:pPr>
    </w:p>
    <w:p>
      <w:pPr>
        <w:jc w:val="center"/>
        <w:rPr>
          <w:rFonts w:ascii="黑体" w:hAnsi="黑体" w:eastAsia="黑体"/>
          <w:sz w:val="44"/>
        </w:rPr>
      </w:pPr>
    </w:p>
    <w:p>
      <w:pPr>
        <w:jc w:val="center"/>
        <w:rPr>
          <w:rFonts w:ascii="黑体" w:hAnsi="黑体" w:eastAsia="黑体"/>
          <w:sz w:val="44"/>
        </w:rPr>
      </w:pPr>
    </w:p>
    <w:p>
      <w:pPr>
        <w:jc w:val="center"/>
        <w:rPr>
          <w:rFonts w:ascii="黑体" w:hAnsi="黑体" w:eastAsia="黑体"/>
          <w:sz w:val="44"/>
        </w:rPr>
      </w:pPr>
    </w:p>
    <w:p>
      <w:pPr>
        <w:ind w:firstLine="0"/>
        <w:rPr>
          <w:rFonts w:ascii="黑体" w:hAnsi="黑体" w:eastAsia="黑体"/>
          <w:sz w:val="44"/>
        </w:rPr>
      </w:pPr>
    </w:p>
    <w:p>
      <w:pPr>
        <w:jc w:val="center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t>2019年</w:t>
      </w:r>
      <w:r>
        <w:rPr>
          <w:rFonts w:hint="eastAsia" w:ascii="黑体" w:hAnsi="黑体" w:eastAsia="黑体"/>
          <w:sz w:val="32"/>
          <w:lang w:val="en-US" w:eastAsia="zh-CN"/>
        </w:rPr>
        <w:t>11</w:t>
      </w:r>
      <w:r>
        <w:rPr>
          <w:rFonts w:hint="eastAsia" w:ascii="黑体" w:hAnsi="黑体" w:eastAsia="黑体"/>
          <w:sz w:val="32"/>
        </w:rPr>
        <w:t>月</w:t>
      </w:r>
    </w:p>
    <w:p>
      <w:pPr>
        <w:jc w:val="center"/>
        <w:rPr>
          <w:rFonts w:ascii="黑体" w:hAnsi="黑体" w:eastAsia="黑体"/>
          <w:sz w:val="32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pgNumType w:start="0" w:chapStyle="1"/>
          <w:cols w:space="425" w:num="1"/>
          <w:titlePg/>
          <w:docGrid w:type="lines" w:linePitch="312" w:charSpace="0"/>
        </w:sectPr>
      </w:pPr>
      <w:r>
        <w:rPr>
          <w:rFonts w:hint="eastAsia" w:ascii="黑体" w:hAnsi="黑体" w:eastAsia="黑体"/>
          <w:sz w:val="32"/>
        </w:rPr>
        <w:t>上海今点软件有限公司</w:t>
      </w:r>
    </w:p>
    <w:p>
      <w:pPr>
        <w:rPr>
          <w:rFonts w:ascii="黑体" w:hAnsi="黑体" w:eastAsia="黑体"/>
          <w:sz w:val="32"/>
        </w:rPr>
        <w:sectPr>
          <w:type w:val="continuous"/>
          <w:pgSz w:w="11906" w:h="16838"/>
          <w:pgMar w:top="1440" w:right="1800" w:bottom="1440" w:left="1800" w:header="851" w:footer="992" w:gutter="0"/>
          <w:pgNumType w:start="0" w:chapStyle="1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ind w:left="675" w:hanging="675"/>
        <w:rPr>
          <w:sz w:val="36"/>
        </w:rPr>
      </w:pPr>
      <w:bookmarkStart w:id="0" w:name="_Toc56601577"/>
      <w:r>
        <w:rPr>
          <w:rFonts w:hint="eastAsia"/>
          <w:sz w:val="36"/>
        </w:rPr>
        <w:t>系统简介</w:t>
      </w:r>
      <w:bookmarkEnd w:id="0"/>
    </w:p>
    <w:p>
      <w:pPr>
        <w:ind w:right="120" w:rightChars="50" w:firstLine="560" w:firstLineChars="200"/>
        <w:rPr>
          <w:sz w:val="28"/>
        </w:rPr>
      </w:pPr>
      <w:r>
        <w:rPr>
          <w:rFonts w:hint="eastAsia"/>
          <w:sz w:val="28"/>
        </w:rPr>
        <w:t>常州市政务自助服务一体机系统主要是办理政务服务事项，市民在自助服务终端上对指定的事项自助申报预约、自助查询政务服务办事指南、自助打印指定的功能，能够和现有的行政审批系统对接。</w:t>
      </w:r>
    </w:p>
    <w:p>
      <w:pPr>
        <w:ind w:right="120" w:rightChars="50" w:firstLine="560" w:firstLineChars="200"/>
        <w:rPr>
          <w:sz w:val="28"/>
        </w:rPr>
      </w:pPr>
      <w:r>
        <w:rPr>
          <w:rFonts w:hint="eastAsia"/>
          <w:sz w:val="28"/>
        </w:rPr>
        <w:t>自助服务一体机系统除了各种便民功能、自助申报功能外，还有更多强大功能，如认证对比，手写签字，打印证明材料等。该设备作为对政务大厅的延伸与补充，可放置于中心大厅自助区域，或用于乡镇、社区基层、大型企业政务服务的延伸，提供24小时自助服务，实现自助办、就近办、智慧办，让老百姓在家门口即可享受“最多跑一次、就近跑一次”带来的便利。</w:t>
      </w:r>
    </w:p>
    <w:p>
      <w:pPr>
        <w:pStyle w:val="3"/>
        <w:numPr>
          <w:ilvl w:val="0"/>
          <w:numId w:val="2"/>
        </w:numPr>
        <w:spacing w:line="415" w:lineRule="auto"/>
        <w:ind w:left="1276" w:hanging="851"/>
      </w:pPr>
      <w:bookmarkStart w:id="1" w:name="_Toc56601578"/>
      <w:r>
        <w:rPr>
          <w:rFonts w:hint="eastAsia"/>
        </w:rPr>
        <w:t>信用查询打印</w:t>
      </w:r>
      <w:bookmarkEnd w:id="1"/>
    </w:p>
    <w:p>
      <w:pPr>
        <w:ind w:firstLine="560" w:firstLineChars="200"/>
        <w:jc w:val="left"/>
        <w:rPr>
          <w:sz w:val="28"/>
        </w:rPr>
      </w:pPr>
      <w:r>
        <w:rPr>
          <w:rFonts w:hint="eastAsia"/>
          <w:sz w:val="28"/>
        </w:rPr>
        <w:t>系统登录首页，点击“证明打印”模块，选择法人信用报告查询、自然人信用报告查询，根据语音提示，在自助设备身份证感应区上按提示要求放置二代身份证，如需退出可点右下角的“返回”或者“首页”按钮，系统默认900秒后回到首页。如下图2</w:t>
      </w:r>
      <w:r>
        <w:rPr>
          <w:sz w:val="28"/>
        </w:rPr>
        <w:t>4</w:t>
      </w:r>
      <w:r>
        <w:rPr>
          <w:rFonts w:hint="eastAsia"/>
          <w:sz w:val="28"/>
        </w:rPr>
        <w:t>、2</w:t>
      </w:r>
      <w:r>
        <w:rPr>
          <w:sz w:val="28"/>
        </w:rPr>
        <w:t>5</w:t>
      </w:r>
      <w:r>
        <w:rPr>
          <w:rFonts w:hint="eastAsia"/>
          <w:sz w:val="28"/>
        </w:rPr>
        <w:t>所示。注：如刷身份证无反应，请与现场工作人员联系。</w:t>
      </w:r>
    </w:p>
    <w:p>
      <w:pPr>
        <w:ind w:firstLine="0"/>
        <w:jc w:val="center"/>
        <w:rPr>
          <w:sz w:val="28"/>
        </w:rPr>
      </w:pPr>
      <w:r>
        <w:drawing>
          <wp:inline distT="0" distB="0" distL="0" distR="0">
            <wp:extent cx="4730115" cy="2976880"/>
            <wp:effectExtent l="0" t="0" r="0" b="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8010" cy="298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  <w:jc w:val="center"/>
        <w:rPr>
          <w:sz w:val="28"/>
        </w:rPr>
      </w:pPr>
      <w:r>
        <w:rPr>
          <w:rFonts w:hint="eastAsia"/>
          <w:sz w:val="28"/>
        </w:rPr>
        <w:t>图24：证明打印</w:t>
      </w:r>
    </w:p>
    <w:p>
      <w:pPr>
        <w:ind w:firstLine="0"/>
        <w:jc w:val="center"/>
      </w:pPr>
      <w:r>
        <w:drawing>
          <wp:inline distT="0" distB="0" distL="0" distR="0">
            <wp:extent cx="4811395" cy="3234690"/>
            <wp:effectExtent l="19050" t="0" r="7907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2253" cy="3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/>
        <w:jc w:val="center"/>
        <w:rPr>
          <w:sz w:val="28"/>
        </w:rPr>
      </w:pPr>
      <w:r>
        <w:rPr>
          <w:rFonts w:hint="eastAsia"/>
          <w:sz w:val="28"/>
        </w:rPr>
        <w:t>图2</w:t>
      </w:r>
      <w:r>
        <w:rPr>
          <w:sz w:val="28"/>
        </w:rPr>
        <w:t>5</w:t>
      </w:r>
      <w:r>
        <w:rPr>
          <w:rFonts w:hint="eastAsia"/>
          <w:sz w:val="28"/>
        </w:rPr>
        <w:t>：身份认证</w:t>
      </w:r>
    </w:p>
    <w:p>
      <w:pPr>
        <w:ind w:firstLine="560" w:firstLineChars="200"/>
        <w:jc w:val="left"/>
        <w:rPr>
          <w:sz w:val="28"/>
        </w:rPr>
      </w:pPr>
      <w:r>
        <w:rPr>
          <w:rFonts w:hint="eastAsia"/>
          <w:sz w:val="28"/>
        </w:rPr>
        <w:t>法人信用报告查询，需通过登录江苏政务网由法人授权后才可操作。江苏政务网：</w:t>
      </w:r>
      <w:r>
        <w:fldChar w:fldCharType="begin"/>
      </w:r>
      <w:r>
        <w:instrText xml:space="preserve"> HYPERLINK "http://www.jszwfw.gov.cn/" </w:instrText>
      </w:r>
      <w:r>
        <w:fldChar w:fldCharType="separate"/>
      </w:r>
      <w:r>
        <w:rPr>
          <w:rStyle w:val="13"/>
          <w:sz w:val="28"/>
        </w:rPr>
        <w:t>http://www.jszwfw.gov.cn/</w:t>
      </w:r>
      <w:r>
        <w:rPr>
          <w:rStyle w:val="13"/>
          <w:sz w:val="28"/>
        </w:rPr>
        <w:fldChar w:fldCharType="end"/>
      </w:r>
      <w:r>
        <w:rPr>
          <w:rFonts w:hint="eastAsia"/>
          <w:sz w:val="28"/>
        </w:rPr>
        <w:t>，</w:t>
      </w:r>
      <w:r>
        <w:rPr>
          <w:sz w:val="28"/>
        </w:rPr>
        <w:t>输入账号和密码或通过支付宝扫描二维码等方式登录</w:t>
      </w:r>
      <w:r>
        <w:rPr>
          <w:rFonts w:hint="eastAsia"/>
          <w:sz w:val="28"/>
        </w:rPr>
        <w:t>，如图26所示。</w:t>
      </w:r>
    </w:p>
    <w:p>
      <w:pPr>
        <w:ind w:firstLine="0"/>
        <w:jc w:val="center"/>
        <w:rPr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4688205" cy="196659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5319" cy="197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/>
        <w:jc w:val="center"/>
        <w:rPr>
          <w:sz w:val="28"/>
        </w:rPr>
      </w:pPr>
      <w:r>
        <w:rPr>
          <w:rFonts w:hint="eastAsia"/>
          <w:sz w:val="28"/>
        </w:rPr>
        <w:t>图26：江苏政务网</w:t>
      </w:r>
    </w:p>
    <w:p>
      <w:pPr>
        <w:ind w:firstLine="560" w:firstLineChars="200"/>
        <w:jc w:val="left"/>
        <w:rPr>
          <w:sz w:val="28"/>
        </w:rPr>
      </w:pPr>
      <w:r>
        <w:rPr>
          <w:rFonts w:hint="eastAsia"/>
          <w:sz w:val="28"/>
        </w:rPr>
        <w:t>登录后选择常州旗舰店，点击用户空间—法人空间，选择相应的企业进入。如图27、28所示。</w:t>
      </w:r>
    </w:p>
    <w:p>
      <w:pPr>
        <w:ind w:firstLine="0"/>
        <w:jc w:val="center"/>
        <w:rPr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4872990" cy="2310765"/>
            <wp:effectExtent l="19050" t="0" r="3810" b="0"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755" cy="231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/>
        <w:jc w:val="center"/>
        <w:rPr>
          <w:sz w:val="28"/>
        </w:rPr>
      </w:pPr>
      <w:r>
        <w:rPr>
          <w:rFonts w:hint="eastAsia"/>
          <w:sz w:val="28"/>
        </w:rPr>
        <w:t>图2</w:t>
      </w:r>
      <w:r>
        <w:rPr>
          <w:rFonts w:hint="eastAsia"/>
          <w:sz w:val="28"/>
          <w:lang w:val="en-US" w:eastAsia="zh-CN"/>
        </w:rPr>
        <w:t>7</w:t>
      </w:r>
      <w:r>
        <w:rPr>
          <w:rFonts w:hint="eastAsia"/>
          <w:sz w:val="28"/>
        </w:rPr>
        <w:t>：常州旗舰店</w:t>
      </w:r>
    </w:p>
    <w:p>
      <w:pPr>
        <w:ind w:firstLine="0"/>
        <w:jc w:val="center"/>
        <w:rPr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4839335" cy="2553970"/>
            <wp:effectExtent l="19050" t="0" r="0" b="0"/>
            <wp:docPr id="3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3462" cy="255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/>
        <w:jc w:val="center"/>
        <w:rPr>
          <w:sz w:val="28"/>
        </w:rPr>
      </w:pPr>
      <w:r>
        <w:rPr>
          <w:rFonts w:hint="eastAsia"/>
          <w:sz w:val="28"/>
        </w:rPr>
        <w:t>图2</w:t>
      </w:r>
      <w:r>
        <w:rPr>
          <w:rFonts w:hint="eastAsia"/>
          <w:sz w:val="28"/>
          <w:lang w:val="en-US" w:eastAsia="zh-CN"/>
        </w:rPr>
        <w:t>8</w:t>
      </w:r>
      <w:r>
        <w:rPr>
          <w:rFonts w:hint="eastAsia"/>
          <w:sz w:val="28"/>
        </w:rPr>
        <w:t>：法人空间</w:t>
      </w:r>
    </w:p>
    <w:p>
      <w:pPr>
        <w:ind w:firstLine="560" w:firstLineChars="200"/>
        <w:jc w:val="left"/>
        <w:rPr>
          <w:sz w:val="28"/>
        </w:rPr>
      </w:pPr>
      <w:r>
        <w:rPr>
          <w:rFonts w:hint="eastAsia"/>
          <w:sz w:val="28"/>
        </w:rPr>
        <w:t>点击“授权”按钮，填写授权人姓名和身份证号，选择授权期限，填写完成后，点击“保存”按钮，完成授权。授权后，授权人可查看授权企业的法人信用报告。</w:t>
      </w:r>
    </w:p>
    <w:p>
      <w:pPr>
        <w:ind w:firstLine="0"/>
        <w:jc w:val="center"/>
        <w:rPr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4728210" cy="2974975"/>
            <wp:effectExtent l="19050" t="0" r="0" b="0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297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/>
        <w:jc w:val="center"/>
        <w:rPr>
          <w:sz w:val="28"/>
        </w:rPr>
      </w:pPr>
      <w:r>
        <w:rPr>
          <w:rFonts w:hint="eastAsia"/>
          <w:sz w:val="28"/>
        </w:rPr>
        <w:t>图2</w:t>
      </w:r>
      <w:r>
        <w:rPr>
          <w:rFonts w:hint="eastAsia"/>
          <w:sz w:val="28"/>
          <w:lang w:val="en-US" w:eastAsia="zh-CN"/>
        </w:rPr>
        <w:t>9</w:t>
      </w:r>
      <w:r>
        <w:rPr>
          <w:rFonts w:hint="eastAsia"/>
          <w:sz w:val="28"/>
        </w:rPr>
        <w:t>：授权</w:t>
      </w:r>
    </w:p>
    <w:p>
      <w:pPr>
        <w:ind w:firstLine="0"/>
        <w:jc w:val="center"/>
        <w:rPr>
          <w:sz w:val="28"/>
        </w:rPr>
      </w:pPr>
      <w:r>
        <w:rPr>
          <w:sz w:val="28"/>
        </w:rPr>
        <w:drawing>
          <wp:inline distT="0" distB="0" distL="0" distR="0">
            <wp:extent cx="4861560" cy="275844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/>
        <w:jc w:val="center"/>
        <w:rPr>
          <w:sz w:val="28"/>
        </w:rPr>
      </w:pPr>
      <w:r>
        <w:rPr>
          <w:rFonts w:hint="eastAsia"/>
          <w:sz w:val="28"/>
        </w:rPr>
        <w:t>图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：授权信息</w:t>
      </w:r>
    </w:p>
    <w:p>
      <w:pPr>
        <w:ind w:firstLine="560" w:firstLineChars="200"/>
        <w:jc w:val="left"/>
        <w:rPr>
          <w:sz w:val="28"/>
        </w:rPr>
      </w:pPr>
      <w:r>
        <w:rPr>
          <w:rFonts w:hint="eastAsia"/>
          <w:sz w:val="28"/>
        </w:rPr>
        <w:t>自然人信用报告：选择自然人信用报告查询，输入手机号码，如下图3</w:t>
      </w:r>
      <w:r>
        <w:rPr>
          <w:rFonts w:hint="eastAsia"/>
          <w:sz w:val="28"/>
          <w:lang w:val="en-US" w:eastAsia="zh-CN"/>
        </w:rPr>
        <w:t>1</w:t>
      </w:r>
      <w:r>
        <w:rPr>
          <w:rFonts w:hint="eastAsia"/>
          <w:sz w:val="28"/>
        </w:rPr>
        <w:t>所示。</w:t>
      </w:r>
    </w:p>
    <w:p>
      <w:pPr>
        <w:ind w:firstLine="0"/>
        <w:jc w:val="center"/>
        <w:rPr>
          <w:sz w:val="28"/>
        </w:rPr>
      </w:pPr>
      <w:r>
        <w:drawing>
          <wp:inline distT="0" distB="0" distL="0" distR="0">
            <wp:extent cx="4478020" cy="28340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497" cy="284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  <w:jc w:val="center"/>
        <w:rPr>
          <w:sz w:val="28"/>
        </w:rPr>
      </w:pPr>
      <w:r>
        <w:rPr>
          <w:rFonts w:hint="eastAsia"/>
          <w:sz w:val="28"/>
        </w:rPr>
        <w:t>图3</w:t>
      </w:r>
      <w:r>
        <w:rPr>
          <w:rFonts w:hint="eastAsia"/>
          <w:sz w:val="28"/>
          <w:lang w:val="en-US" w:eastAsia="zh-CN"/>
        </w:rPr>
        <w:t>1</w:t>
      </w:r>
      <w:r>
        <w:rPr>
          <w:rFonts w:hint="eastAsia"/>
          <w:sz w:val="28"/>
        </w:rPr>
        <w:t>：手机号输入</w:t>
      </w:r>
    </w:p>
    <w:p>
      <w:pPr>
        <w:ind w:firstLine="560" w:firstLineChars="200"/>
        <w:jc w:val="left"/>
        <w:rPr>
          <w:sz w:val="28"/>
        </w:rPr>
      </w:pPr>
      <w:r>
        <w:rPr>
          <w:rFonts w:hint="eastAsia"/>
          <w:sz w:val="28"/>
        </w:rPr>
        <w:t>输入手机号码后，选择开始查询，跳出个人信息和打印信用报告，点打印信用报告，自助机直接打印，申请人在自助机下方取出个人信用报告，如下图3</w:t>
      </w:r>
      <w:r>
        <w:rPr>
          <w:rFonts w:hint="eastAsia"/>
          <w:sz w:val="28"/>
          <w:lang w:val="en-US" w:eastAsia="zh-CN"/>
        </w:rPr>
        <w:t>2</w:t>
      </w:r>
      <w:bookmarkStart w:id="2" w:name="_GoBack"/>
      <w:bookmarkEnd w:id="2"/>
      <w:r>
        <w:rPr>
          <w:rFonts w:hint="eastAsia"/>
          <w:sz w:val="28"/>
        </w:rPr>
        <w:t>所示。</w:t>
      </w:r>
    </w:p>
    <w:p>
      <w:pPr>
        <w:ind w:firstLine="0"/>
        <w:jc w:val="center"/>
        <w:rPr>
          <w:sz w:val="28"/>
        </w:rPr>
      </w:pPr>
      <w:r>
        <w:drawing>
          <wp:inline distT="0" distB="0" distL="0" distR="0">
            <wp:extent cx="4472305" cy="28403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223" cy="285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  <w:jc w:val="center"/>
        <w:rPr>
          <w:sz w:val="28"/>
        </w:rPr>
      </w:pPr>
      <w:r>
        <w:rPr>
          <w:rFonts w:hint="eastAsia"/>
          <w:sz w:val="28"/>
        </w:rPr>
        <w:t>图3</w:t>
      </w:r>
      <w:r>
        <w:rPr>
          <w:rFonts w:hint="eastAsia"/>
          <w:sz w:val="28"/>
          <w:lang w:val="en-US" w:eastAsia="zh-CN"/>
        </w:rPr>
        <w:t>2</w:t>
      </w:r>
      <w:r>
        <w:rPr>
          <w:rFonts w:hint="eastAsia"/>
          <w:sz w:val="28"/>
        </w:rPr>
        <w:t>：打印信用报告</w:t>
      </w:r>
    </w:p>
    <w:p>
      <w:pPr>
        <w:ind w:firstLine="560" w:firstLineChars="200"/>
        <w:rPr>
          <w:sz w:val="28"/>
        </w:rPr>
      </w:pPr>
      <w:r>
        <w:rPr>
          <w:rFonts w:hint="eastAsia"/>
          <w:sz w:val="28"/>
        </w:rPr>
        <w:t>自然人信用报告如下图所示。</w:t>
      </w:r>
    </w:p>
    <w:p>
      <w:pPr>
        <w:ind w:firstLine="480" w:firstLineChars="200"/>
        <w:rPr>
          <w:sz w:val="28"/>
        </w:rPr>
      </w:pPr>
      <w:r>
        <w:drawing>
          <wp:inline distT="0" distB="0" distL="0" distR="0">
            <wp:extent cx="4922520" cy="675894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2947" cy="675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sz w:val="28"/>
        </w:rPr>
      </w:pPr>
      <w:r>
        <w:drawing>
          <wp:inline distT="0" distB="0" distL="0" distR="0">
            <wp:extent cx="4869180" cy="6888480"/>
            <wp:effectExtent l="0" t="0" r="762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9602" cy="688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9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</w:p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63086903"/>
      <w:docPartObj>
        <w:docPartGallery w:val="autotext"/>
      </w:docPartObj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24</w:t>
        </w:r>
        <w:r>
          <w:fldChar w:fldCharType="end"/>
        </w:r>
      </w:p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  <w:r>
      <w:rPr>
        <w:rFonts w:hint="eastAsia"/>
      </w:rPr>
      <w:t>自助服务一体机用户操作手册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  <w:r>
      <w:rPr>
        <w:rFonts w:hint="eastAsia"/>
      </w:rPr>
      <w:t>自助服务一体机用户操作手册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1662E"/>
    <w:multiLevelType w:val="multilevel"/>
    <w:tmpl w:val="08D1662E"/>
    <w:lvl w:ilvl="0" w:tentative="0">
      <w:start w:val="1"/>
      <w:numFmt w:val="japaneseCounting"/>
      <w:lvlText w:val="%1、"/>
      <w:lvlJc w:val="left"/>
      <w:pPr>
        <w:ind w:left="1097" w:hanging="672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1">
    <w:nsid w:val="65623D7B"/>
    <w:multiLevelType w:val="multilevel"/>
    <w:tmpl w:val="65623D7B"/>
    <w:lvl w:ilvl="0" w:tentative="0">
      <w:start w:val="1"/>
      <w:numFmt w:val="decimal"/>
      <w:lvlText w:val="%1.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60E7C"/>
    <w:rsid w:val="00025DE0"/>
    <w:rsid w:val="000329BE"/>
    <w:rsid w:val="000C5CB4"/>
    <w:rsid w:val="000D226C"/>
    <w:rsid w:val="000D7296"/>
    <w:rsid w:val="000E0461"/>
    <w:rsid w:val="0012394F"/>
    <w:rsid w:val="001245D2"/>
    <w:rsid w:val="00131484"/>
    <w:rsid w:val="001570BE"/>
    <w:rsid w:val="00172CFA"/>
    <w:rsid w:val="00180735"/>
    <w:rsid w:val="0019502B"/>
    <w:rsid w:val="001A04C0"/>
    <w:rsid w:val="001A3FC0"/>
    <w:rsid w:val="001F0EA5"/>
    <w:rsid w:val="00214D14"/>
    <w:rsid w:val="00237310"/>
    <w:rsid w:val="002404E9"/>
    <w:rsid w:val="00241892"/>
    <w:rsid w:val="002C02C7"/>
    <w:rsid w:val="002D1939"/>
    <w:rsid w:val="002D4A7B"/>
    <w:rsid w:val="002F440F"/>
    <w:rsid w:val="003120C9"/>
    <w:rsid w:val="003B3FA0"/>
    <w:rsid w:val="003D53C3"/>
    <w:rsid w:val="003F3A2E"/>
    <w:rsid w:val="00400F0E"/>
    <w:rsid w:val="00407CE9"/>
    <w:rsid w:val="00415945"/>
    <w:rsid w:val="00420B75"/>
    <w:rsid w:val="00427109"/>
    <w:rsid w:val="00431E6B"/>
    <w:rsid w:val="0043480E"/>
    <w:rsid w:val="00436942"/>
    <w:rsid w:val="00473321"/>
    <w:rsid w:val="004A153C"/>
    <w:rsid w:val="004B68B4"/>
    <w:rsid w:val="004D5F47"/>
    <w:rsid w:val="004F30E5"/>
    <w:rsid w:val="00502F6A"/>
    <w:rsid w:val="00537B43"/>
    <w:rsid w:val="00550470"/>
    <w:rsid w:val="00560079"/>
    <w:rsid w:val="0057240D"/>
    <w:rsid w:val="00585361"/>
    <w:rsid w:val="00591530"/>
    <w:rsid w:val="005D6113"/>
    <w:rsid w:val="005E1775"/>
    <w:rsid w:val="005F7269"/>
    <w:rsid w:val="0063118B"/>
    <w:rsid w:val="00674D1B"/>
    <w:rsid w:val="006E224D"/>
    <w:rsid w:val="00703343"/>
    <w:rsid w:val="00795510"/>
    <w:rsid w:val="007A15E5"/>
    <w:rsid w:val="007A3BBD"/>
    <w:rsid w:val="007A499E"/>
    <w:rsid w:val="007B5F57"/>
    <w:rsid w:val="007C6A6F"/>
    <w:rsid w:val="00817F41"/>
    <w:rsid w:val="00834145"/>
    <w:rsid w:val="008506FD"/>
    <w:rsid w:val="00860E7C"/>
    <w:rsid w:val="00870C82"/>
    <w:rsid w:val="00882599"/>
    <w:rsid w:val="00882C2E"/>
    <w:rsid w:val="008B7706"/>
    <w:rsid w:val="008D737D"/>
    <w:rsid w:val="008E2424"/>
    <w:rsid w:val="00903A22"/>
    <w:rsid w:val="009165E5"/>
    <w:rsid w:val="0093470A"/>
    <w:rsid w:val="009365C9"/>
    <w:rsid w:val="00940498"/>
    <w:rsid w:val="0095077E"/>
    <w:rsid w:val="00964308"/>
    <w:rsid w:val="00964770"/>
    <w:rsid w:val="009652E1"/>
    <w:rsid w:val="00966AF0"/>
    <w:rsid w:val="00981C2A"/>
    <w:rsid w:val="009B1C82"/>
    <w:rsid w:val="009D26D3"/>
    <w:rsid w:val="009F4BEF"/>
    <w:rsid w:val="00A43B4A"/>
    <w:rsid w:val="00A64CE4"/>
    <w:rsid w:val="00A71B36"/>
    <w:rsid w:val="00AA6381"/>
    <w:rsid w:val="00AB2CD9"/>
    <w:rsid w:val="00B02303"/>
    <w:rsid w:val="00B34846"/>
    <w:rsid w:val="00B434DE"/>
    <w:rsid w:val="00B944A6"/>
    <w:rsid w:val="00BB54DA"/>
    <w:rsid w:val="00BE4F83"/>
    <w:rsid w:val="00BE6E34"/>
    <w:rsid w:val="00C10830"/>
    <w:rsid w:val="00C3274A"/>
    <w:rsid w:val="00C32D25"/>
    <w:rsid w:val="00C518AA"/>
    <w:rsid w:val="00C63512"/>
    <w:rsid w:val="00C957E7"/>
    <w:rsid w:val="00CD1F82"/>
    <w:rsid w:val="00D17A1B"/>
    <w:rsid w:val="00D34506"/>
    <w:rsid w:val="00D80D41"/>
    <w:rsid w:val="00DC232A"/>
    <w:rsid w:val="00DE4E31"/>
    <w:rsid w:val="00E14943"/>
    <w:rsid w:val="00E376D6"/>
    <w:rsid w:val="00E5015C"/>
    <w:rsid w:val="00E54214"/>
    <w:rsid w:val="00E5516D"/>
    <w:rsid w:val="00E7366C"/>
    <w:rsid w:val="00EA66F2"/>
    <w:rsid w:val="00ED2927"/>
    <w:rsid w:val="00EF55C6"/>
    <w:rsid w:val="00EF6BC2"/>
    <w:rsid w:val="00F00C7F"/>
    <w:rsid w:val="00F03657"/>
    <w:rsid w:val="00F04DD6"/>
    <w:rsid w:val="00F05C3C"/>
    <w:rsid w:val="00F1287A"/>
    <w:rsid w:val="00F24E43"/>
    <w:rsid w:val="00F27FEC"/>
    <w:rsid w:val="00F34C09"/>
    <w:rsid w:val="00F35594"/>
    <w:rsid w:val="00F65806"/>
    <w:rsid w:val="00F70370"/>
    <w:rsid w:val="00F82941"/>
    <w:rsid w:val="00FB04D7"/>
    <w:rsid w:val="00FB790A"/>
    <w:rsid w:val="00FC52B9"/>
    <w:rsid w:val="00FD6F6A"/>
    <w:rsid w:val="00FD778F"/>
    <w:rsid w:val="29F52DB1"/>
    <w:rsid w:val="64850B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5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100" w:after="100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9"/>
    <w:semiHidden/>
    <w:unhideWhenUsed/>
    <w:qFormat/>
    <w:uiPriority w:val="99"/>
    <w:rPr>
      <w:rFonts w:ascii="宋体"/>
      <w:sz w:val="18"/>
      <w:szCs w:val="18"/>
    </w:r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Balloon Text"/>
    <w:basedOn w:val="1"/>
    <w:link w:val="2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8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tabs>
        <w:tab w:val="left" w:pos="1260"/>
        <w:tab w:val="right" w:leader="dot" w:pos="8296"/>
      </w:tabs>
      <w:jc w:val="left"/>
    </w:pPr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character" w:styleId="13">
    <w:name w:val="Hyperlink"/>
    <w:qFormat/>
    <w:uiPriority w:val="99"/>
    <w:rPr>
      <w:color w:val="0000FF"/>
      <w:u w:val="single"/>
    </w:rPr>
  </w:style>
  <w:style w:type="character" w:customStyle="1" w:styleId="14">
    <w:name w:val="标题 1 字符"/>
    <w:basedOn w:val="12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页眉 字符"/>
    <w:basedOn w:val="12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页脚 字符"/>
    <w:basedOn w:val="12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文档结构图 字符"/>
    <w:basedOn w:val="12"/>
    <w:link w:val="4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0">
    <w:name w:val="批注框文本 字符"/>
    <w:basedOn w:val="12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EE3D01-AA0E-4A2A-AB98-4B316D7AE6A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8</Pages>
  <Words>141</Words>
  <Characters>808</Characters>
  <Lines>6</Lines>
  <Paragraphs>1</Paragraphs>
  <TotalTime>178</TotalTime>
  <ScaleCrop>false</ScaleCrop>
  <LinksUpToDate>false</LinksUpToDate>
  <CharactersWithSpaces>948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2020-11-17T01:12:00Z</dcterms:created>
  <dc:creator>user</dc:creator>
  <cp:lastModifiedBy>隔壁老王</cp:lastModifiedBy>
  <dcterms:modified xsi:type="dcterms:W3CDTF">2020-11-19T06:52:43Z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