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lang w:val="en-US" w:eastAsia="zh-CN"/>
        </w:rPr>
      </w:pPr>
      <w:r>
        <w:rPr>
          <w:rFonts w:hint="eastAsia"/>
          <w:lang w:val="en-US" w:eastAsia="zh-CN"/>
        </w:rPr>
        <w:t>人社领域新增行政处罚权</w:t>
      </w:r>
    </w:p>
    <w:p/>
    <w:tbl>
      <w:tblPr>
        <w:tblStyle w:val="2"/>
        <w:tblW w:w="1340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10"/>
        <w:gridCol w:w="7754"/>
        <w:gridCol w:w="4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numPr>
                <w:ilvl w:val="0"/>
                <w:numId w:val="1"/>
              </w:numPr>
              <w:spacing w:line="256" w:lineRule="exact"/>
              <w:ind w:left="105" w:leftChars="50" w:firstLine="0"/>
              <w:jc w:val="center"/>
              <w:rPr>
                <w:kern w:val="0"/>
                <w:szCs w:val="21"/>
              </w:rPr>
            </w:pPr>
          </w:p>
        </w:tc>
        <w:tc>
          <w:tcPr>
            <w:tcW w:w="710" w:type="dxa"/>
            <w:vMerge w:val="restart"/>
            <w:vAlign w:val="center"/>
          </w:tcPr>
          <w:p>
            <w:pPr>
              <w:spacing w:line="256" w:lineRule="exact"/>
              <w:jc w:val="center"/>
              <w:rPr>
                <w:kern w:val="0"/>
                <w:szCs w:val="21"/>
              </w:rPr>
            </w:pPr>
            <w:r>
              <w:rPr>
                <w:kern w:val="0"/>
                <w:szCs w:val="21"/>
              </w:rPr>
              <w:t>人力资源和社会保障</w:t>
            </w:r>
          </w:p>
        </w:tc>
        <w:tc>
          <w:tcPr>
            <w:tcW w:w="7754" w:type="dxa"/>
            <w:vAlign w:val="center"/>
          </w:tcPr>
          <w:p>
            <w:pPr>
              <w:spacing w:line="256" w:lineRule="exact"/>
              <w:rPr>
                <w:kern w:val="0"/>
                <w:szCs w:val="21"/>
              </w:rPr>
            </w:pPr>
            <w:r>
              <w:rPr>
                <w:kern w:val="0"/>
                <w:szCs w:val="21"/>
              </w:rPr>
              <w:t>对</w:t>
            </w:r>
            <w:r>
              <w:rPr>
                <w:rFonts w:hint="eastAsia"/>
                <w:shd w:val="clear" w:color="auto" w:fill="FFFFFF"/>
              </w:rPr>
              <w:t>以实物、有价证券等形式代替货币支付农民工工资</w:t>
            </w:r>
            <w:r>
              <w:rPr>
                <w:kern w:val="0"/>
                <w:szCs w:val="21"/>
              </w:rPr>
              <w:t>的处罚</w:t>
            </w:r>
          </w:p>
        </w:tc>
        <w:tc>
          <w:tcPr>
            <w:tcW w:w="4236" w:type="dxa"/>
            <w:vAlign w:val="center"/>
          </w:tcPr>
          <w:p>
            <w:pPr>
              <w:spacing w:line="256" w:lineRule="exact"/>
              <w:rPr>
                <w:rFonts w:hint="eastAsia" w:eastAsia="宋体"/>
                <w:kern w:val="0"/>
                <w:szCs w:val="21"/>
                <w:lang w:eastAsia="zh-CN"/>
              </w:rPr>
            </w:pPr>
            <w:r>
              <w:rPr>
                <w:kern w:val="0"/>
                <w:szCs w:val="21"/>
              </w:rPr>
              <w:t>《</w:t>
            </w:r>
            <w:r>
              <w:rPr>
                <w:rFonts w:hint="eastAsia"/>
                <w:bCs/>
                <w:szCs w:val="21"/>
                <w:shd w:val="clear" w:color="auto" w:fill="FFFFFF"/>
              </w:rPr>
              <w:t>保障农民工工资支付条例</w:t>
            </w:r>
            <w:r>
              <w:rPr>
                <w:kern w:val="0"/>
                <w:szCs w:val="21"/>
              </w:rPr>
              <w:t>》</w:t>
            </w:r>
            <w:r>
              <w:rPr>
                <w:rFonts w:hint="eastAsia"/>
                <w:kern w:val="0"/>
                <w:szCs w:val="21"/>
                <w:lang w:eastAsia="zh-CN"/>
              </w:rPr>
              <w:t>第十一条、第五十四条第（一）项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numPr>
                <w:ilvl w:val="0"/>
                <w:numId w:val="1"/>
              </w:numPr>
              <w:spacing w:line="256" w:lineRule="exact"/>
              <w:ind w:left="105" w:leftChars="50" w:firstLine="0"/>
              <w:jc w:val="center"/>
              <w:rPr>
                <w:kern w:val="0"/>
                <w:szCs w:val="21"/>
              </w:rPr>
            </w:pPr>
          </w:p>
        </w:tc>
        <w:tc>
          <w:tcPr>
            <w:tcW w:w="710" w:type="dxa"/>
            <w:vMerge w:val="continue"/>
            <w:vAlign w:val="center"/>
          </w:tcPr>
          <w:p>
            <w:pPr>
              <w:spacing w:line="256" w:lineRule="exact"/>
              <w:jc w:val="center"/>
              <w:rPr>
                <w:kern w:val="0"/>
                <w:szCs w:val="21"/>
              </w:rPr>
            </w:pPr>
          </w:p>
        </w:tc>
        <w:tc>
          <w:tcPr>
            <w:tcW w:w="7754" w:type="dxa"/>
            <w:vAlign w:val="center"/>
          </w:tcPr>
          <w:p>
            <w:pPr>
              <w:spacing w:line="256" w:lineRule="exact"/>
              <w:rPr>
                <w:kern w:val="0"/>
                <w:szCs w:val="21"/>
              </w:rPr>
            </w:pPr>
            <w:r>
              <w:rPr>
                <w:kern w:val="0"/>
                <w:szCs w:val="21"/>
              </w:rPr>
              <w:t>对</w:t>
            </w:r>
            <w:r>
              <w:rPr>
                <w:rFonts w:hint="eastAsia"/>
                <w:shd w:val="clear" w:color="auto" w:fill="FFFFFF"/>
              </w:rPr>
              <w:t>未编制工资支付台账并依法保存，或者未向农民工提供工资清单</w:t>
            </w:r>
            <w:r>
              <w:rPr>
                <w:kern w:val="0"/>
                <w:szCs w:val="21"/>
              </w:rPr>
              <w:t>的处罚</w:t>
            </w:r>
          </w:p>
        </w:tc>
        <w:tc>
          <w:tcPr>
            <w:tcW w:w="4236" w:type="dxa"/>
            <w:vAlign w:val="center"/>
          </w:tcPr>
          <w:p>
            <w:pPr>
              <w:spacing w:line="256" w:lineRule="exact"/>
              <w:rPr>
                <w:kern w:val="0"/>
                <w:szCs w:val="21"/>
              </w:rPr>
            </w:pPr>
            <w:r>
              <w:rPr>
                <w:kern w:val="0"/>
                <w:szCs w:val="21"/>
              </w:rPr>
              <w:t>《</w:t>
            </w:r>
            <w:r>
              <w:rPr>
                <w:rFonts w:hint="eastAsia"/>
                <w:bCs/>
                <w:szCs w:val="21"/>
                <w:shd w:val="clear" w:color="auto" w:fill="FFFFFF"/>
              </w:rPr>
              <w:t>保障农民工工资支付条例</w:t>
            </w:r>
            <w:r>
              <w:rPr>
                <w:kern w:val="0"/>
                <w:szCs w:val="21"/>
              </w:rPr>
              <w:t>》</w:t>
            </w:r>
            <w:r>
              <w:rPr>
                <w:rFonts w:hint="eastAsia"/>
                <w:kern w:val="0"/>
                <w:szCs w:val="21"/>
                <w:lang w:eastAsia="zh-CN"/>
              </w:rPr>
              <w:t>第十五条、第五十四条第（二）项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numPr>
                <w:ilvl w:val="0"/>
                <w:numId w:val="1"/>
              </w:numPr>
              <w:spacing w:line="256" w:lineRule="exact"/>
              <w:ind w:left="105" w:leftChars="50" w:firstLine="0"/>
              <w:jc w:val="center"/>
              <w:rPr>
                <w:kern w:val="0"/>
                <w:szCs w:val="21"/>
              </w:rPr>
            </w:pPr>
          </w:p>
        </w:tc>
        <w:tc>
          <w:tcPr>
            <w:tcW w:w="710" w:type="dxa"/>
            <w:vMerge w:val="continue"/>
            <w:vAlign w:val="center"/>
          </w:tcPr>
          <w:p>
            <w:pPr>
              <w:spacing w:line="256" w:lineRule="exact"/>
              <w:jc w:val="center"/>
              <w:rPr>
                <w:kern w:val="0"/>
                <w:szCs w:val="21"/>
              </w:rPr>
            </w:pPr>
          </w:p>
        </w:tc>
        <w:tc>
          <w:tcPr>
            <w:tcW w:w="7754" w:type="dxa"/>
            <w:vAlign w:val="center"/>
          </w:tcPr>
          <w:p>
            <w:pPr>
              <w:spacing w:line="256" w:lineRule="exact"/>
              <w:rPr>
                <w:kern w:val="0"/>
                <w:szCs w:val="21"/>
              </w:rPr>
            </w:pPr>
            <w:r>
              <w:rPr>
                <w:kern w:val="0"/>
                <w:szCs w:val="21"/>
              </w:rPr>
              <w:t>对</w:t>
            </w:r>
            <w:r>
              <w:rPr>
                <w:rFonts w:hint="eastAsia"/>
                <w:shd w:val="clear" w:color="auto" w:fill="FFFFFF"/>
              </w:rPr>
              <w:t>扣押或者变相扣押用于支付农民工工资的银行账户所绑定的农民工本人社会保障卡或者银行卡</w:t>
            </w:r>
            <w:r>
              <w:rPr>
                <w:kern w:val="0"/>
                <w:szCs w:val="21"/>
              </w:rPr>
              <w:t>的处罚</w:t>
            </w:r>
          </w:p>
        </w:tc>
        <w:tc>
          <w:tcPr>
            <w:tcW w:w="4236" w:type="dxa"/>
            <w:vAlign w:val="center"/>
          </w:tcPr>
          <w:p>
            <w:pPr>
              <w:spacing w:line="256" w:lineRule="exact"/>
              <w:rPr>
                <w:kern w:val="0"/>
                <w:szCs w:val="21"/>
              </w:rPr>
            </w:pPr>
            <w:r>
              <w:rPr>
                <w:kern w:val="0"/>
                <w:szCs w:val="21"/>
              </w:rPr>
              <w:t>《</w:t>
            </w:r>
            <w:r>
              <w:rPr>
                <w:rFonts w:hint="eastAsia"/>
                <w:bCs/>
                <w:szCs w:val="21"/>
                <w:shd w:val="clear" w:color="auto" w:fill="FFFFFF"/>
              </w:rPr>
              <w:t>保障农民工工资支付条例</w:t>
            </w:r>
            <w:r>
              <w:rPr>
                <w:kern w:val="0"/>
                <w:szCs w:val="21"/>
              </w:rPr>
              <w:t>》</w:t>
            </w:r>
            <w:r>
              <w:rPr>
                <w:rFonts w:hint="eastAsia"/>
                <w:kern w:val="0"/>
                <w:szCs w:val="21"/>
                <w:lang w:eastAsia="zh-CN"/>
              </w:rPr>
              <w:t>第三十一条第四款、第五十四条第（三）项</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9FCA7"/>
    <w:multiLevelType w:val="singleLevel"/>
    <w:tmpl w:val="1D09FCA7"/>
    <w:lvl w:ilvl="0" w:tentative="0">
      <w:start w:val="1"/>
      <w:numFmt w:val="decimal"/>
      <w:lvlText w:val="%1"/>
      <w:lvlJc w:val="center"/>
      <w:pPr>
        <w:tabs>
          <w:tab w:val="left" w:pos="397"/>
        </w:tabs>
        <w:ind w:left="454" w:hanging="166"/>
      </w:pPr>
      <w:rPr>
        <w:rFonts w:hint="eastAsia" w:eastAsia="宋体"/>
        <w:sz w:val="1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36BA1"/>
    <w:rsid w:val="00D36BA1"/>
    <w:rsid w:val="00D8664D"/>
    <w:rsid w:val="515F7933"/>
    <w:rsid w:val="68CA3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24</Words>
  <Characters>143</Characters>
  <Lines>1</Lines>
  <Paragraphs>1</Paragraphs>
  <TotalTime>0</TotalTime>
  <ScaleCrop>false</ScaleCrop>
  <LinksUpToDate>false</LinksUpToDate>
  <CharactersWithSpaces>166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2020-06-22T03:03:00Z</dcterms:created>
  <dc:creator>hp</dc:creator>
  <cp:lastModifiedBy>ghj</cp:lastModifiedBy>
  <dcterms:modified xsi:type="dcterms:W3CDTF">2020-08-28T02:51:13Z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