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17" w:beforeLines="50" w:beforeAutospacing="0" w:after="360" w:afterAutospacing="0" w:line="560" w:lineRule="exact"/>
        <w:rPr>
          <w:rFonts w:hint="eastAsia" w:ascii="黑体" w:hAnsi="黑体" w:eastAsia="黑体" w:cs="黑体"/>
          <w:bCs/>
          <w:sz w:val="32"/>
          <w:szCs w:val="32"/>
        </w:rPr>
      </w:pPr>
      <w:r>
        <w:rPr>
          <w:rFonts w:hint="eastAsia" w:ascii="黑体" w:hAnsi="黑体" w:eastAsia="黑体" w:cs="黑体"/>
          <w:bCs/>
          <w:sz w:val="32"/>
          <w:szCs w:val="32"/>
        </w:rPr>
        <w:t>附件2</w:t>
      </w:r>
    </w:p>
    <w:p>
      <w:pPr>
        <w:pStyle w:val="2"/>
        <w:spacing w:before="217" w:beforeLines="50" w:beforeAutospacing="0" w:after="360" w:afterAutospacing="0" w:line="560" w:lineRule="exact"/>
        <w:jc w:val="center"/>
        <w:rPr>
          <w:rFonts w:hint="eastAsia" w:ascii="仿宋_GB2312" w:hAnsi="华文中宋" w:eastAsia="仿宋_GB2312"/>
          <w:szCs w:val="32"/>
        </w:rPr>
      </w:pPr>
      <w:bookmarkStart w:id="0" w:name="_GoBack"/>
      <w:r>
        <w:rPr>
          <w:rFonts w:hint="eastAsia" w:ascii="华文中宋" w:hAnsi="华文中宋" w:eastAsia="华文中宋" w:cs="仿宋_GB2312"/>
          <w:b/>
          <w:sz w:val="44"/>
          <w:szCs w:val="44"/>
        </w:rPr>
        <w:t>企业落实安全生产主体责任专题检查要点表</w:t>
      </w:r>
    </w:p>
    <w:bookmarkEnd w:id="0"/>
    <w:p>
      <w:pPr>
        <w:spacing w:line="560" w:lineRule="exact"/>
        <w:jc w:val="left"/>
        <w:rPr>
          <w:rFonts w:hint="eastAsia" w:ascii="楷体_GB2312" w:hAnsi="华文中宋" w:eastAsia="楷体_GB2312" w:cs="仿宋_GB2312"/>
          <w:b/>
          <w:spacing w:val="-10"/>
        </w:rPr>
      </w:pPr>
      <w:r>
        <w:rPr>
          <w:rFonts w:hint="eastAsia" w:ascii="楷体_GB2312" w:hAnsi="华文中宋" w:eastAsia="楷体_GB2312" w:cs="仿宋_GB2312"/>
          <w:b/>
          <w:spacing w:val="-10"/>
        </w:rPr>
        <w:t>注：“执法项”是有处罚依据的执法检查事项；“检查项”是按方案要求检查、督促企业开展的工作。</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
        <w:gridCol w:w="3138"/>
        <w:gridCol w:w="2268"/>
        <w:gridCol w:w="2694"/>
        <w:gridCol w:w="1404"/>
        <w:gridCol w:w="1718"/>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blHeader/>
        </w:trPr>
        <w:tc>
          <w:tcPr>
            <w:tcW w:w="939" w:type="dxa"/>
            <w:noWrap/>
            <w:vAlign w:val="center"/>
          </w:tcPr>
          <w:p>
            <w:pPr>
              <w:spacing w:line="360" w:lineRule="exact"/>
              <w:jc w:val="center"/>
              <w:rPr>
                <w:rFonts w:ascii="黑体" w:hAnsi="黑体" w:eastAsia="黑体"/>
                <w:bCs/>
                <w:sz w:val="24"/>
              </w:rPr>
            </w:pPr>
            <w:r>
              <w:rPr>
                <w:rFonts w:hint="eastAsia" w:ascii="黑体" w:hAnsi="黑体" w:eastAsia="黑体"/>
                <w:bCs/>
                <w:sz w:val="24"/>
              </w:rPr>
              <w:t>序号</w:t>
            </w:r>
          </w:p>
        </w:tc>
        <w:tc>
          <w:tcPr>
            <w:tcW w:w="3138" w:type="dxa"/>
            <w:noWrap w:val="0"/>
            <w:vAlign w:val="center"/>
          </w:tcPr>
          <w:p>
            <w:pPr>
              <w:spacing w:line="360" w:lineRule="exact"/>
              <w:jc w:val="center"/>
              <w:rPr>
                <w:rFonts w:ascii="黑体" w:hAnsi="黑体" w:eastAsia="黑体"/>
                <w:bCs/>
                <w:sz w:val="24"/>
              </w:rPr>
            </w:pPr>
            <w:r>
              <w:rPr>
                <w:rFonts w:hint="eastAsia" w:ascii="黑体" w:hAnsi="黑体" w:eastAsia="黑体"/>
                <w:bCs/>
                <w:sz w:val="24"/>
              </w:rPr>
              <w:t>主要任务</w:t>
            </w:r>
          </w:p>
        </w:tc>
        <w:tc>
          <w:tcPr>
            <w:tcW w:w="2268" w:type="dxa"/>
            <w:noWrap w:val="0"/>
            <w:vAlign w:val="center"/>
          </w:tcPr>
          <w:p>
            <w:pPr>
              <w:spacing w:line="360" w:lineRule="exact"/>
              <w:jc w:val="center"/>
              <w:rPr>
                <w:rFonts w:ascii="黑体" w:hAnsi="黑体" w:eastAsia="黑体"/>
                <w:bCs/>
                <w:sz w:val="24"/>
              </w:rPr>
            </w:pPr>
            <w:r>
              <w:rPr>
                <w:rFonts w:hint="eastAsia" w:ascii="黑体" w:hAnsi="黑体" w:eastAsia="黑体"/>
                <w:bCs/>
                <w:sz w:val="24"/>
              </w:rPr>
              <w:t>检查要点</w:t>
            </w:r>
          </w:p>
        </w:tc>
        <w:tc>
          <w:tcPr>
            <w:tcW w:w="2694" w:type="dxa"/>
            <w:noWrap w:val="0"/>
            <w:vAlign w:val="center"/>
          </w:tcPr>
          <w:p>
            <w:pPr>
              <w:spacing w:line="360" w:lineRule="exact"/>
              <w:jc w:val="center"/>
              <w:rPr>
                <w:rFonts w:ascii="黑体" w:hAnsi="黑体" w:eastAsia="黑体"/>
                <w:bCs/>
                <w:sz w:val="24"/>
              </w:rPr>
            </w:pPr>
            <w:r>
              <w:rPr>
                <w:rFonts w:hint="eastAsia" w:ascii="黑体" w:hAnsi="黑体" w:eastAsia="黑体"/>
                <w:bCs/>
                <w:sz w:val="24"/>
              </w:rPr>
              <w:t>检查方式</w:t>
            </w:r>
          </w:p>
        </w:tc>
        <w:tc>
          <w:tcPr>
            <w:tcW w:w="1404" w:type="dxa"/>
            <w:noWrap w:val="0"/>
            <w:vAlign w:val="top"/>
          </w:tcPr>
          <w:p>
            <w:pPr>
              <w:spacing w:line="360" w:lineRule="exact"/>
              <w:jc w:val="center"/>
              <w:rPr>
                <w:rFonts w:hint="eastAsia" w:ascii="黑体" w:hAnsi="黑体" w:eastAsia="黑体"/>
                <w:bCs/>
                <w:sz w:val="24"/>
              </w:rPr>
            </w:pPr>
            <w:r>
              <w:rPr>
                <w:rFonts w:hint="eastAsia" w:ascii="黑体" w:hAnsi="黑体" w:eastAsia="黑体"/>
                <w:bCs/>
                <w:sz w:val="24"/>
              </w:rPr>
              <w:t>检查情况</w:t>
            </w:r>
          </w:p>
        </w:tc>
        <w:tc>
          <w:tcPr>
            <w:tcW w:w="1718" w:type="dxa"/>
            <w:noWrap w:val="0"/>
            <w:vAlign w:val="top"/>
          </w:tcPr>
          <w:p>
            <w:pPr>
              <w:spacing w:line="360" w:lineRule="exact"/>
              <w:jc w:val="center"/>
              <w:rPr>
                <w:rFonts w:hint="eastAsia" w:ascii="黑体" w:hAnsi="黑体" w:eastAsia="黑体"/>
                <w:bCs/>
                <w:sz w:val="24"/>
              </w:rPr>
            </w:pPr>
            <w:r>
              <w:rPr>
                <w:rFonts w:hint="eastAsia" w:ascii="黑体" w:hAnsi="黑体" w:eastAsia="黑体"/>
                <w:bCs/>
                <w:sz w:val="24"/>
              </w:rPr>
              <w:t>企业自查情况</w:t>
            </w:r>
          </w:p>
        </w:tc>
        <w:tc>
          <w:tcPr>
            <w:tcW w:w="1718" w:type="dxa"/>
            <w:noWrap w:val="0"/>
            <w:vAlign w:val="center"/>
          </w:tcPr>
          <w:p>
            <w:pPr>
              <w:spacing w:line="360" w:lineRule="exact"/>
              <w:jc w:val="center"/>
              <w:rPr>
                <w:rFonts w:ascii="黑体" w:hAnsi="黑体" w:eastAsia="黑体"/>
                <w:bCs/>
                <w:sz w:val="24"/>
              </w:rPr>
            </w:pPr>
            <w:r>
              <w:rPr>
                <w:rFonts w:hint="eastAsia" w:ascii="黑体" w:hAnsi="黑体" w:eastAsia="黑体"/>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13879" w:type="dxa"/>
            <w:gridSpan w:val="7"/>
            <w:noWrap w:val="0"/>
            <w:vAlign w:val="center"/>
          </w:tcPr>
          <w:p>
            <w:pPr>
              <w:adjustRightInd w:val="0"/>
              <w:snapToGrid w:val="0"/>
              <w:rPr>
                <w:rFonts w:hint="eastAsia" w:ascii="仿宋_GB2312" w:hAnsi="宋体"/>
                <w:b/>
                <w:bCs/>
                <w:sz w:val="24"/>
              </w:rPr>
            </w:pPr>
            <w:r>
              <w:rPr>
                <w:rFonts w:hint="eastAsia" w:ascii="仿宋_GB2312" w:hAnsi="宋体"/>
                <w:b/>
                <w:bCs/>
                <w:sz w:val="24"/>
              </w:rPr>
              <w:t>(一）全面落实企业安全生产责任体系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建立健全从主要负责人到一线岗位员工覆盖所有管理和操作岗位的安全生产责任制，明确企业所有人员承担的安全生产责任，建立企业内部安全生产监督考核机制，推动各个岗位安全生产责任落实到位。</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 xml:space="preserve">建立全员安全生产责任制，明确考核标准和监督考核机制，按照制度规定开展安全生产责任制监督考核。 </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1.查阅企业安全生产责任制覆盖所有负责人、部门和岗位情况。</w:t>
            </w:r>
          </w:p>
          <w:p>
            <w:pPr>
              <w:adjustRightInd w:val="0"/>
              <w:snapToGrid w:val="0"/>
              <w:spacing w:line="280" w:lineRule="exact"/>
              <w:rPr>
                <w:rFonts w:hint="eastAsia" w:ascii="仿宋_GB2312" w:hAnsi="宋体"/>
                <w:bCs/>
                <w:sz w:val="24"/>
              </w:rPr>
            </w:pPr>
            <w:r>
              <w:rPr>
                <w:rFonts w:hint="eastAsia" w:ascii="仿宋_GB2312" w:hAnsi="宋体"/>
                <w:bCs/>
                <w:sz w:val="24"/>
              </w:rPr>
              <w:t>2.抽查2个部门安全生产责任制考核记录。</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vMerge w:val="restart"/>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主要负责人履责、责任制落实情况的执法处罚依据参见执法检查表。</w:t>
            </w:r>
          </w:p>
          <w:p>
            <w:pPr>
              <w:adjustRightInd w:val="0"/>
              <w:snapToGrid w:val="0"/>
              <w:spacing w:line="280" w:lineRule="exact"/>
              <w:rPr>
                <w:rFonts w:hint="eastAsia" w:ascii="仿宋_GB2312" w:hAnsi="宋体"/>
                <w:b/>
                <w:bCs/>
                <w:sz w:val="24"/>
              </w:rPr>
            </w:pPr>
            <w:r>
              <w:rPr>
                <w:rFonts w:hint="eastAsia" w:ascii="仿宋_GB2312" w:hAnsi="宋体"/>
                <w:b/>
                <w:bCs/>
                <w:sz w:val="24"/>
              </w:rPr>
              <w:t>检查项。</w:t>
            </w:r>
          </w:p>
          <w:p>
            <w:pPr>
              <w:adjustRightInd w:val="0"/>
              <w:snapToGrid w:val="0"/>
              <w:spacing w:line="280" w:lineRule="exact"/>
              <w:rPr>
                <w:rFonts w:hint="eastAsia" w:ascii="仿宋_GB2312" w:hAnsi="宋体"/>
                <w:bCs/>
                <w:sz w:val="24"/>
              </w:rPr>
            </w:pPr>
            <w:r>
              <w:rPr>
                <w:rFonts w:hint="eastAsia" w:ascii="仿宋_GB2312" w:hAnsi="宋体"/>
                <w:bCs/>
                <w:sz w:val="24"/>
              </w:rPr>
              <w:t>以师带徒落实情况。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2</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督促指导企业强化落实法定代表人、实际控制人等主要负责人第一责任人法定责任，做到安全责任、安全管理、安全投入、安全培训、应急救援“五到位”。</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 xml:space="preserve">企业主要负责人法定责任落实，做到安全责任、安全管理、安全投入、安全培训、应急救援“五到位”。                       </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1.与企业主要负责人座谈交流其法定责任掌握和落实情况。</w:t>
            </w:r>
          </w:p>
          <w:p>
            <w:pPr>
              <w:adjustRightInd w:val="0"/>
              <w:snapToGrid w:val="0"/>
              <w:spacing w:line="280" w:lineRule="exact"/>
              <w:rPr>
                <w:rFonts w:hint="eastAsia" w:ascii="仿宋_GB2312" w:hAnsi="宋体"/>
                <w:bCs/>
                <w:sz w:val="24"/>
              </w:rPr>
            </w:pPr>
            <w:r>
              <w:rPr>
                <w:rFonts w:hint="eastAsia" w:ascii="仿宋_GB2312" w:hAnsi="宋体"/>
                <w:bCs/>
                <w:sz w:val="24"/>
              </w:rPr>
              <w:t>2.查阅履职佐证资料。</w:t>
            </w:r>
          </w:p>
        </w:tc>
        <w:tc>
          <w:tcPr>
            <w:tcW w:w="1404" w:type="dxa"/>
            <w:noWrap w:val="0"/>
            <w:vAlign w:val="top"/>
          </w:tcPr>
          <w:p>
            <w:pPr>
              <w:adjustRightInd w:val="0"/>
              <w:snapToGrid w:val="0"/>
              <w:spacing w:line="280" w:lineRule="exact"/>
              <w:rPr>
                <w:rFonts w:hint="eastAsia" w:ascii="仿宋_GB2312" w:hAnsi="宋体"/>
                <w:bCs/>
                <w:sz w:val="24"/>
              </w:rPr>
            </w:pPr>
          </w:p>
        </w:tc>
        <w:tc>
          <w:tcPr>
            <w:tcW w:w="1718" w:type="dxa"/>
            <w:noWrap w:val="0"/>
            <w:vAlign w:val="top"/>
          </w:tcPr>
          <w:p>
            <w:pPr>
              <w:adjustRightInd w:val="0"/>
              <w:snapToGrid w:val="0"/>
              <w:spacing w:line="280" w:lineRule="exact"/>
              <w:rPr>
                <w:rFonts w:hint="eastAsia" w:ascii="仿宋_GB2312" w:hAnsi="宋体"/>
                <w:bCs/>
                <w:sz w:val="24"/>
              </w:rPr>
            </w:pPr>
          </w:p>
        </w:tc>
        <w:tc>
          <w:tcPr>
            <w:tcW w:w="1718" w:type="dxa"/>
            <w:vMerge w:val="continue"/>
            <w:noWrap w:val="0"/>
            <w:vAlign w:val="center"/>
          </w:tcPr>
          <w:p>
            <w:pPr>
              <w:adjustRightInd w:val="0"/>
              <w:snapToGrid w:val="0"/>
              <w:spacing w:line="280" w:lineRule="exact"/>
              <w:rPr>
                <w:rFonts w:hint="eastAsia" w:ascii="仿宋_GB2312"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3"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3</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落实全员安全生产责任，强化内部各部门安全生产职责，落实一岗双责制度；督促指导企业安全管理人员、重点岗位、班组和一线从业人员严格履行自身安全生产职责，严格遵守岗位安全操作规程，确保安全生产；督促指导重点行业领域企业严格落实以师带徒制度，确保新招员工安全作业。</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各部门安全生产职责明确。从业人员熟知岗位安全生产职责，严格遵守岗位安全操作规程。</w:t>
            </w:r>
          </w:p>
          <w:p>
            <w:pPr>
              <w:adjustRightInd w:val="0"/>
              <w:snapToGrid w:val="0"/>
              <w:spacing w:line="280" w:lineRule="exact"/>
              <w:rPr>
                <w:rFonts w:hint="eastAsia" w:ascii="仿宋_GB2312" w:hAnsi="宋体"/>
                <w:bCs/>
                <w:sz w:val="24"/>
              </w:rPr>
            </w:pPr>
            <w:r>
              <w:rPr>
                <w:rFonts w:hint="eastAsia" w:ascii="仿宋_GB2312" w:hAnsi="宋体"/>
                <w:bCs/>
                <w:sz w:val="24"/>
              </w:rPr>
              <w:t>检维修作业制定并安全方案，外委承包项目签订安全协议，对承包单位统一管理、定期检查。</w:t>
            </w:r>
          </w:p>
          <w:p>
            <w:pPr>
              <w:adjustRightInd w:val="0"/>
              <w:snapToGrid w:val="0"/>
              <w:spacing w:line="280" w:lineRule="exact"/>
              <w:rPr>
                <w:rFonts w:hint="eastAsia" w:ascii="仿宋_GB2312" w:hAnsi="宋体"/>
                <w:bCs/>
                <w:sz w:val="24"/>
              </w:rPr>
            </w:pPr>
            <w:r>
              <w:rPr>
                <w:rFonts w:hint="eastAsia" w:ascii="仿宋_GB2312" w:hAnsi="宋体"/>
                <w:bCs/>
                <w:sz w:val="24"/>
              </w:rPr>
              <w:t>重点行业领域企业建立并落实以师带徒制度。</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1.查阅检维修作业安全方案、外委承包项目管理、检查等资料。</w:t>
            </w:r>
          </w:p>
          <w:p>
            <w:pPr>
              <w:adjustRightInd w:val="0"/>
              <w:snapToGrid w:val="0"/>
              <w:spacing w:line="280" w:lineRule="exact"/>
              <w:rPr>
                <w:rFonts w:hint="eastAsia" w:ascii="仿宋_GB2312" w:hAnsi="宋体"/>
                <w:bCs/>
                <w:sz w:val="24"/>
              </w:rPr>
            </w:pPr>
            <w:r>
              <w:rPr>
                <w:rFonts w:hint="eastAsia" w:ascii="仿宋_GB2312" w:hAnsi="宋体"/>
                <w:bCs/>
                <w:sz w:val="24"/>
              </w:rPr>
              <w:t>2.询问有关负责人、一线员工掌握岗位职责、安全操作规程等情况。</w:t>
            </w:r>
          </w:p>
          <w:p>
            <w:pPr>
              <w:adjustRightInd w:val="0"/>
              <w:snapToGrid w:val="0"/>
              <w:spacing w:line="280" w:lineRule="exact"/>
              <w:rPr>
                <w:rFonts w:hint="eastAsia" w:ascii="仿宋_GB2312" w:hAnsi="宋体"/>
                <w:bCs/>
                <w:sz w:val="24"/>
              </w:rPr>
            </w:pPr>
            <w:r>
              <w:rPr>
                <w:rFonts w:hint="eastAsia" w:ascii="仿宋_GB2312" w:hAnsi="宋体"/>
                <w:bCs/>
                <w:sz w:val="24"/>
              </w:rPr>
              <w:t>3.抽查重点行业领域企业以师带徒制度落实情况。</w:t>
            </w:r>
          </w:p>
        </w:tc>
        <w:tc>
          <w:tcPr>
            <w:tcW w:w="1404" w:type="dxa"/>
            <w:noWrap w:val="0"/>
            <w:vAlign w:val="top"/>
          </w:tcPr>
          <w:p>
            <w:pPr>
              <w:adjustRightInd w:val="0"/>
              <w:snapToGrid w:val="0"/>
              <w:spacing w:line="280" w:lineRule="exact"/>
              <w:rPr>
                <w:rFonts w:hint="eastAsia" w:ascii="仿宋_GB2312" w:hAnsi="宋体"/>
                <w:bCs/>
                <w:sz w:val="24"/>
              </w:rPr>
            </w:pPr>
          </w:p>
        </w:tc>
        <w:tc>
          <w:tcPr>
            <w:tcW w:w="1718" w:type="dxa"/>
            <w:noWrap w:val="0"/>
            <w:vAlign w:val="top"/>
          </w:tcPr>
          <w:p>
            <w:pPr>
              <w:adjustRightInd w:val="0"/>
              <w:snapToGrid w:val="0"/>
              <w:spacing w:line="280" w:lineRule="exact"/>
              <w:rPr>
                <w:rFonts w:hint="eastAsia" w:ascii="仿宋_GB2312" w:hAnsi="宋体"/>
                <w:bCs/>
                <w:sz w:val="24"/>
              </w:rPr>
            </w:pPr>
          </w:p>
        </w:tc>
        <w:tc>
          <w:tcPr>
            <w:tcW w:w="1718" w:type="dxa"/>
            <w:vMerge w:val="continue"/>
            <w:noWrap w:val="0"/>
            <w:vAlign w:val="center"/>
          </w:tcPr>
          <w:p>
            <w:pPr>
              <w:adjustRightInd w:val="0"/>
              <w:snapToGrid w:val="0"/>
              <w:spacing w:line="280" w:lineRule="exact"/>
              <w:rPr>
                <w:rFonts w:hint="eastAsia" w:ascii="仿宋_GB2312" w:hAnsi="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3879" w:type="dxa"/>
            <w:gridSpan w:val="7"/>
            <w:noWrap/>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（二）健全完善企业安全生产管理制度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4</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督促指导企业依法建立健全安全生产管理机构，配齐安全生产管理人员，全力支持安全管理机构工作，并建立相应的奖惩制度。</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安全生产管理机构健全，安全生产管理人员配备齐全。</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查阅企业设置安全管理机构和配备安全生产管理人员相关佐证文件资料。</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5</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督促指导各重点行业领域企业通过自身培养和市场化机制全部建立安全生产技术和管理团队。</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 xml:space="preserve">重点行业领域企业建立安全生产技术和管理团队。 </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核查重点行业领域企业安全生产技术和管理团队建设情况。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1"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6</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企业强化安全投入，保证安全生产条件所必需的资金投入，严格安全生产费用提取管理使用制度，坚持内部审计与外部审计相结合，确保足额提取、使用到位，对违规挪作他用，以及由于资金投入不足导致的发生事故等后果依法依规惩处。</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按照《企业安全生产费用提取和使用管理办法》（ 财企〔2012〕16号)的要求，规范提取和使用安全生产费用。</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查阅企业安全生产费用提取和使用制度和安全生产费用使用台账。</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7</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督促企业严格落实安全技术设备设施改造等支持政策，加大淘汰落后力度，及时更新推广应用先进适用安全生产工艺和技术装备，提高安全生产保障能力。</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企业不使用国家明令禁止的淘汰工艺和设备。</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现场抽查工艺和设备符合国家或者行业标准情况。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具体参见钢铁、涉爆粉尘企业执法检查重点事项表。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8</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督促企业加强从业人员劳动保护，配齐并督促从业人员正确佩戴和使用符合国家或行业标准的安全防护用品。</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从业人员安全防护用品齐全有效。</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查阅企业安全防护用品登记和发放记录，询问1-2名从业人员掌握正确佩戴和使用安全防护用品情况。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8"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9</w:t>
            </w:r>
          </w:p>
        </w:tc>
        <w:tc>
          <w:tcPr>
            <w:tcW w:w="3138" w:type="dxa"/>
            <w:noWrap w:val="0"/>
            <w:vAlign w:val="center"/>
          </w:tcPr>
          <w:p>
            <w:pPr>
              <w:adjustRightInd w:val="0"/>
              <w:snapToGrid w:val="0"/>
              <w:spacing w:line="280" w:lineRule="exact"/>
              <w:rPr>
                <w:rFonts w:hint="eastAsia" w:ascii="仿宋_GB2312" w:hAnsi="宋体"/>
                <w:bCs/>
                <w:spacing w:val="-4"/>
                <w:sz w:val="24"/>
              </w:rPr>
            </w:pPr>
            <w:r>
              <w:rPr>
                <w:rFonts w:hint="eastAsia" w:ascii="仿宋_GB2312" w:hAnsi="宋体"/>
                <w:bCs/>
                <w:spacing w:val="-4"/>
                <w:sz w:val="24"/>
              </w:rPr>
              <w:t>督促指导企业建立健全安全教育培训制度。依法查处未取得特种作业操作证和未经安全生产教育培训合格的从业人员上岗作业等违法行为。</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安全教育培训制度健全，从业人员教育培训合格和特种作业人员持证上岗。</w:t>
            </w:r>
          </w:p>
        </w:tc>
        <w:tc>
          <w:tcPr>
            <w:tcW w:w="2694" w:type="dxa"/>
            <w:noWrap w:val="0"/>
            <w:vAlign w:val="center"/>
          </w:tcPr>
          <w:p>
            <w:pPr>
              <w:adjustRightInd w:val="0"/>
              <w:snapToGrid w:val="0"/>
              <w:spacing w:line="280" w:lineRule="exact"/>
              <w:rPr>
                <w:rFonts w:hint="eastAsia" w:ascii="仿宋_GB2312" w:hAnsi="宋体"/>
                <w:bCs/>
                <w:spacing w:val="-12"/>
                <w:sz w:val="24"/>
              </w:rPr>
            </w:pPr>
            <w:r>
              <w:rPr>
                <w:rFonts w:hint="eastAsia" w:ascii="仿宋_GB2312" w:hAnsi="宋体"/>
                <w:bCs/>
                <w:spacing w:val="-12"/>
                <w:sz w:val="24"/>
              </w:rPr>
              <w:t>查阅企业安全生产教育培训计划和培训记录（试卷），检查特种作业人员操作证有效性，现场核查特种作业岗位是否配备符合资质人员。</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0"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10</w:t>
            </w:r>
          </w:p>
        </w:tc>
        <w:tc>
          <w:tcPr>
            <w:tcW w:w="3138" w:type="dxa"/>
            <w:noWrap w:val="0"/>
            <w:vAlign w:val="center"/>
          </w:tcPr>
          <w:p>
            <w:pPr>
              <w:adjustRightInd w:val="0"/>
              <w:snapToGrid w:val="0"/>
              <w:spacing w:line="280" w:lineRule="exact"/>
              <w:rPr>
                <w:rFonts w:hint="eastAsia" w:ascii="仿宋_GB2312" w:hAnsi="宋体"/>
                <w:bCs/>
                <w:spacing w:val="-6"/>
                <w:sz w:val="24"/>
              </w:rPr>
            </w:pPr>
            <w:r>
              <w:rPr>
                <w:rFonts w:hint="eastAsia" w:ascii="仿宋_GB2312" w:hAnsi="宋体"/>
                <w:bCs/>
                <w:spacing w:val="-6"/>
                <w:sz w:val="24"/>
              </w:rPr>
              <w:t>充分利用国家职业技能提升行动支持政策，加强企业安全人才培养。督促指导省属以上重点行业领域企业通过自建或委托方式建设职业院校（技工院校），实现重点岗位人员“变招工为招生”。</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省属以上重点行业领域企业重点岗位人员实现“变招工为招生”。</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与企业主要负责人座谈交流重点岗位“变招工为招生”实施情况。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9"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11</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督促推动各类企业按照《企业安全生产标准化基本规范》（GB/T33000-2016）和行业专业标准化评定标准的要求，持续推进企业安全生产标准化建设。督促指导高危行业及规模以上企业完成自评工作。</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企业推进安全生产标准化工作，高危行业及规模以上企业完成年度安全生产标准化管理体系自评工作。</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查阅企业安全生产标准化年度自评报告。检查是否按标准开展，是否符合企业实际情况。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3879" w:type="dxa"/>
            <w:gridSpan w:val="7"/>
            <w:noWrap/>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(三) 健全完善企业安全风险防控机制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1"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12</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督促指导企业建立安全风险辨识评估制度，科学制定安全风险辨识程序和方法，定期辨识安全风险，并对其进行分类、梳理、评估，科学确定安全风险类别和等级，实现“一企一清单”。</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企业安全风险辨识评估制度完善，安全风险类别和等级明确，实现“一企一清单”。</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1.查阅企业安全风险辨识评估制度和风险分级及管控措施清单。</w:t>
            </w:r>
          </w:p>
          <w:p>
            <w:pPr>
              <w:adjustRightInd w:val="0"/>
              <w:snapToGrid w:val="0"/>
              <w:spacing w:line="280" w:lineRule="exact"/>
              <w:rPr>
                <w:rFonts w:hint="eastAsia" w:ascii="仿宋_GB2312" w:hAnsi="宋体"/>
                <w:bCs/>
                <w:sz w:val="24"/>
              </w:rPr>
            </w:pPr>
            <w:r>
              <w:rPr>
                <w:rFonts w:hint="eastAsia" w:ascii="仿宋_GB2312" w:hAnsi="宋体"/>
                <w:bCs/>
                <w:sz w:val="24"/>
              </w:rPr>
              <w:t>2.检查主要风险辨识是否遗漏、评估分级是否合理、管控措施是否到位。</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13</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督促指导企业建立安全风险管控制度，逐一落实企业、车间、班组和岗位的管控责任。</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建立安全风险管控制度，企业、车间、班组和岗位管控责任明确。</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现场抽查有关负责人、员工对安全风险辨识管控掌握和落实情况。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2"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14</w:t>
            </w:r>
          </w:p>
        </w:tc>
        <w:tc>
          <w:tcPr>
            <w:tcW w:w="3138" w:type="dxa"/>
            <w:noWrap w:val="0"/>
            <w:vAlign w:val="center"/>
          </w:tcPr>
          <w:p>
            <w:pPr>
              <w:adjustRightInd w:val="0"/>
              <w:snapToGrid w:val="0"/>
              <w:spacing w:line="280" w:lineRule="exact"/>
              <w:rPr>
                <w:rFonts w:hint="eastAsia" w:ascii="仿宋_GB2312" w:hAnsi="宋体"/>
                <w:bCs/>
                <w:spacing w:val="-6"/>
                <w:sz w:val="24"/>
              </w:rPr>
            </w:pPr>
            <w:r>
              <w:rPr>
                <w:rFonts w:hint="eastAsia" w:ascii="仿宋_GB2312" w:hAnsi="宋体"/>
                <w:bCs/>
                <w:spacing w:val="-6"/>
                <w:sz w:val="24"/>
              </w:rPr>
              <w:t>督促指导企业针对高危工艺、设备、物品、场所和岗位等重点环节，高度关注运营状况和危险源变化后的风险状况，动态评估、调整风险等级和管控措施，确保安全风险始终处于受控范围内。</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动态评估运营状况和危险源变化后的风险，及时调整风险等级和管控措施。</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查阅运营状况和危险源变化前后评估结果和相应措施。检查是否对改扩建、新工艺新设备等更新风险管控清单。</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15</w:t>
            </w:r>
          </w:p>
        </w:tc>
        <w:tc>
          <w:tcPr>
            <w:tcW w:w="3138" w:type="dxa"/>
            <w:noWrap w:val="0"/>
            <w:vAlign w:val="center"/>
          </w:tcPr>
          <w:p>
            <w:pPr>
              <w:adjustRightInd w:val="0"/>
              <w:snapToGrid w:val="0"/>
              <w:spacing w:line="280" w:lineRule="exact"/>
              <w:rPr>
                <w:rFonts w:hint="eastAsia" w:ascii="仿宋_GB2312" w:hAnsi="宋体"/>
                <w:bCs/>
                <w:spacing w:val="-10"/>
                <w:sz w:val="24"/>
              </w:rPr>
            </w:pPr>
            <w:r>
              <w:rPr>
                <w:rFonts w:hint="eastAsia" w:ascii="仿宋_GB2312" w:hAnsi="宋体"/>
                <w:bCs/>
                <w:spacing w:val="-10"/>
                <w:sz w:val="24"/>
              </w:rPr>
              <w:t>督促指导企业在醒目位置和重点区域分别设置安全风险公告栏，制作岗位安全风险告知卡，强化危险源监测和预警，设置明显警示标志，确保每名员工都能掌握安全风险的基本情况及防范、应急措施。</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安全风险公告栏、岗位安全风险告知卡、安全警示标志齐全有效。</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现场抽查1个车间的安全风险公告栏，2个岗位安全风险告知卡和1个设备设施的安全警示标志。</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具体参见有限空间作业执法检查表。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2" w:hRule="atLeast"/>
        </w:trPr>
        <w:tc>
          <w:tcPr>
            <w:tcW w:w="939" w:type="dxa"/>
            <w:noWrap w:val="0"/>
            <w:vAlign w:val="center"/>
          </w:tcPr>
          <w:p>
            <w:pPr>
              <w:adjustRightInd w:val="0"/>
              <w:snapToGrid w:val="0"/>
              <w:jc w:val="center"/>
              <w:rPr>
                <w:rFonts w:hint="eastAsia" w:ascii="仿宋_GB2312" w:hAnsi="宋体"/>
                <w:bCs/>
                <w:sz w:val="24"/>
              </w:rPr>
            </w:pPr>
            <w:r>
              <w:rPr>
                <w:rFonts w:hint="eastAsia" w:ascii="仿宋_GB2312" w:hAnsi="宋体"/>
                <w:bCs/>
                <w:sz w:val="24"/>
              </w:rPr>
              <w:t>16</w:t>
            </w:r>
          </w:p>
        </w:tc>
        <w:tc>
          <w:tcPr>
            <w:tcW w:w="3138" w:type="dxa"/>
            <w:noWrap w:val="0"/>
            <w:vAlign w:val="center"/>
          </w:tcPr>
          <w:p>
            <w:pPr>
              <w:adjustRightInd w:val="0"/>
              <w:snapToGrid w:val="0"/>
              <w:spacing w:line="280" w:lineRule="exact"/>
              <w:rPr>
                <w:rFonts w:hint="eastAsia" w:ascii="仿宋_GB2312" w:hAnsi="宋体"/>
                <w:bCs/>
                <w:spacing w:val="-2"/>
                <w:sz w:val="24"/>
              </w:rPr>
            </w:pPr>
            <w:r>
              <w:rPr>
                <w:rFonts w:hint="eastAsia" w:ascii="仿宋_GB2312" w:hAnsi="宋体"/>
                <w:bCs/>
                <w:spacing w:val="-2"/>
                <w:sz w:val="24"/>
              </w:rPr>
              <w:t>督促指导企业建立健全安全生产风险报告制度，明确风险管控和报告流程，接受政府监管和社会监督，定期向相关监管部门报送风险清单。</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安全生产风险报告制度健全，依法向相关监管部门报送风险清单。</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查阅企业风险清单报告。</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检查项。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3879" w:type="dxa"/>
            <w:gridSpan w:val="7"/>
            <w:noWrap/>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(四) 健全完善企业安全隐患排查治理机制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939" w:type="dxa"/>
            <w:noWrap/>
            <w:vAlign w:val="center"/>
          </w:tcPr>
          <w:p>
            <w:pPr>
              <w:adjustRightInd w:val="0"/>
              <w:snapToGrid w:val="0"/>
              <w:jc w:val="center"/>
              <w:rPr>
                <w:rFonts w:hint="eastAsia" w:ascii="仿宋_GB2312" w:hAnsi="宋体"/>
                <w:bCs/>
                <w:sz w:val="24"/>
              </w:rPr>
            </w:pPr>
            <w:r>
              <w:rPr>
                <w:rFonts w:hint="eastAsia" w:ascii="仿宋_GB2312" w:hAnsi="宋体"/>
                <w:bCs/>
                <w:sz w:val="24"/>
              </w:rPr>
              <w:t>17</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建立健全以风险辨识管控为基础的隐患排查治理制度，制定符合企业实际的隐患排查治理清单，完善隐患排查治理等重点环节的程序、方法和标准，明确和细化隐患排查的事项、内容和频次，并及时向负有安全监督管理职责的部门和企业职代会“双报告”风险管控和隐患排查治理情况。</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企业隐患排查治理制度完善，及时向负有安全生产监督管理职责的部门和企业职代会“双报告”风险管控和隐患排查治理情况。</w:t>
            </w:r>
          </w:p>
        </w:tc>
        <w:tc>
          <w:tcPr>
            <w:tcW w:w="2694" w:type="dxa"/>
            <w:noWrap w:val="0"/>
            <w:vAlign w:val="center"/>
          </w:tcPr>
          <w:p>
            <w:pPr>
              <w:adjustRightInd w:val="0"/>
              <w:snapToGrid w:val="0"/>
              <w:spacing w:line="280" w:lineRule="exact"/>
              <w:rPr>
                <w:rFonts w:hint="eastAsia" w:ascii="仿宋_GB2312"/>
                <w:sz w:val="24"/>
              </w:rPr>
            </w:pPr>
            <w:r>
              <w:rPr>
                <w:rFonts w:hint="eastAsia" w:ascii="仿宋_GB2312" w:hAnsi="宋体"/>
                <w:bCs/>
                <w:sz w:val="24"/>
              </w:rPr>
              <w:t>1.</w:t>
            </w:r>
            <w:r>
              <w:rPr>
                <w:rFonts w:hint="eastAsia" w:ascii="仿宋_GB2312"/>
                <w:sz w:val="24"/>
              </w:rPr>
              <w:t xml:space="preserve"> 查阅企业隐患排查治理制度，是否明确责任、机制、程序、方法、资金等要求。</w:t>
            </w:r>
          </w:p>
          <w:p>
            <w:pPr>
              <w:adjustRightInd w:val="0"/>
              <w:snapToGrid w:val="0"/>
              <w:spacing w:line="280" w:lineRule="exact"/>
              <w:rPr>
                <w:rFonts w:hint="eastAsia" w:ascii="仿宋_GB2312"/>
                <w:sz w:val="24"/>
              </w:rPr>
            </w:pPr>
            <w:r>
              <w:rPr>
                <w:rFonts w:hint="eastAsia" w:ascii="仿宋_GB2312"/>
                <w:sz w:val="24"/>
              </w:rPr>
              <w:t>2.</w:t>
            </w:r>
            <w:r>
              <w:rPr>
                <w:rFonts w:hint="eastAsia"/>
              </w:rPr>
              <w:t xml:space="preserve"> </w:t>
            </w:r>
            <w:r>
              <w:rPr>
                <w:rFonts w:hint="eastAsia" w:ascii="仿宋_GB2312"/>
                <w:sz w:val="24"/>
              </w:rPr>
              <w:t>查阅企业隐患排查治理清单，是否明确和细化隐患排查的事项、内容和频次。</w:t>
            </w:r>
          </w:p>
          <w:p>
            <w:pPr>
              <w:adjustRightInd w:val="0"/>
              <w:snapToGrid w:val="0"/>
              <w:spacing w:line="280" w:lineRule="exact"/>
              <w:rPr>
                <w:rFonts w:hint="eastAsia" w:ascii="仿宋_GB2312" w:hAnsi="宋体"/>
                <w:bCs/>
                <w:sz w:val="24"/>
              </w:rPr>
            </w:pPr>
            <w:r>
              <w:rPr>
                <w:rFonts w:hint="eastAsia" w:ascii="仿宋_GB2312"/>
                <w:sz w:val="24"/>
              </w:rPr>
              <w:t>3.</w:t>
            </w:r>
            <w:r>
              <w:rPr>
                <w:rFonts w:hint="eastAsia" w:ascii="仿宋_GB2312" w:hAnsi="宋体"/>
                <w:bCs/>
                <w:sz w:val="24"/>
              </w:rPr>
              <w:t>查阅企业隐患排查治理台账是否规范健全，“双报告”记录。</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执法处罚依据参见执法检查表。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939" w:type="dxa"/>
            <w:noWrap/>
            <w:vAlign w:val="center"/>
          </w:tcPr>
          <w:p>
            <w:pPr>
              <w:adjustRightInd w:val="0"/>
              <w:snapToGrid w:val="0"/>
              <w:jc w:val="center"/>
              <w:rPr>
                <w:rFonts w:hint="eastAsia" w:ascii="仿宋_GB2312" w:hAnsi="宋体"/>
                <w:bCs/>
                <w:sz w:val="24"/>
              </w:rPr>
            </w:pPr>
            <w:r>
              <w:rPr>
                <w:rFonts w:hint="eastAsia" w:ascii="仿宋_GB2312" w:hAnsi="宋体"/>
                <w:bCs/>
                <w:sz w:val="24"/>
              </w:rPr>
              <w:t>18</w:t>
            </w:r>
          </w:p>
        </w:tc>
        <w:tc>
          <w:tcPr>
            <w:tcW w:w="313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督促指导企业按照有关行业重大事故隐患判定标准，加强对重大事故隐患治理，制定并实施严格的隐患治理方案，并向负有监管职责的部门报告。</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企业对照重大事故隐患判定标准自查自改到位。</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1.</w:t>
            </w:r>
            <w:r>
              <w:rPr>
                <w:rFonts w:ascii="仿宋_GB2312" w:hAnsi="宋体"/>
                <w:bCs/>
                <w:sz w:val="24"/>
              </w:rPr>
              <w:t>是否按照</w:t>
            </w:r>
            <w:r>
              <w:rPr>
                <w:rFonts w:hint="eastAsia" w:ascii="仿宋_GB2312" w:hAnsi="宋体"/>
                <w:bCs/>
                <w:sz w:val="24"/>
              </w:rPr>
              <w:t>重大隐患</w:t>
            </w:r>
            <w:r>
              <w:rPr>
                <w:rFonts w:ascii="仿宋_GB2312" w:hAnsi="宋体"/>
                <w:bCs/>
                <w:sz w:val="24"/>
              </w:rPr>
              <w:t>判定标准排查治理重大事故隐患。</w:t>
            </w:r>
          </w:p>
          <w:p>
            <w:pPr>
              <w:adjustRightInd w:val="0"/>
              <w:snapToGrid w:val="0"/>
              <w:spacing w:line="280" w:lineRule="exact"/>
              <w:rPr>
                <w:rFonts w:hint="eastAsia" w:ascii="仿宋_GB2312" w:hAnsi="宋体"/>
                <w:bCs/>
                <w:sz w:val="24"/>
              </w:rPr>
            </w:pPr>
            <w:r>
              <w:rPr>
                <w:rFonts w:hint="eastAsia" w:ascii="仿宋_GB2312" w:hAnsi="宋体"/>
                <w:bCs/>
                <w:sz w:val="24"/>
              </w:rPr>
              <w:t>2.现场抽查企业重点环节、部位、设备设施重大隐患排查治理情况。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执法项。</w:t>
            </w:r>
          </w:p>
          <w:p>
            <w:pPr>
              <w:adjustRightInd w:val="0"/>
              <w:snapToGrid w:val="0"/>
              <w:spacing w:line="280" w:lineRule="exact"/>
              <w:rPr>
                <w:rFonts w:hint="eastAsia" w:ascii="仿宋_GB2312" w:hAnsi="宋体"/>
                <w:bCs/>
                <w:sz w:val="24"/>
              </w:rPr>
            </w:pPr>
            <w:r>
              <w:rPr>
                <w:rFonts w:hint="eastAsia" w:ascii="仿宋_GB2312" w:hAnsi="宋体"/>
                <w:bCs/>
                <w:sz w:val="24"/>
              </w:rPr>
              <w:t>执法处罚依据参见具体行业领域执法检查表。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939" w:type="dxa"/>
            <w:noWrap/>
            <w:vAlign w:val="center"/>
          </w:tcPr>
          <w:p>
            <w:pPr>
              <w:adjustRightInd w:val="0"/>
              <w:snapToGrid w:val="0"/>
              <w:jc w:val="center"/>
              <w:rPr>
                <w:rFonts w:hint="eastAsia" w:ascii="仿宋_GB2312" w:hAnsi="宋体"/>
                <w:bCs/>
                <w:sz w:val="24"/>
              </w:rPr>
            </w:pPr>
            <w:r>
              <w:rPr>
                <w:rFonts w:hint="eastAsia" w:ascii="仿宋_GB2312" w:hAnsi="宋体"/>
                <w:bCs/>
                <w:sz w:val="24"/>
              </w:rPr>
              <w:t>19</w:t>
            </w:r>
          </w:p>
        </w:tc>
        <w:tc>
          <w:tcPr>
            <w:tcW w:w="3138" w:type="dxa"/>
            <w:noWrap w:val="0"/>
            <w:vAlign w:val="center"/>
          </w:tcPr>
          <w:p>
            <w:pPr>
              <w:adjustRightInd w:val="0"/>
              <w:snapToGrid w:val="0"/>
              <w:spacing w:line="260" w:lineRule="exact"/>
              <w:rPr>
                <w:rFonts w:hint="eastAsia" w:ascii="仿宋_GB2312" w:hAnsi="宋体"/>
                <w:bCs/>
                <w:sz w:val="24"/>
              </w:rPr>
            </w:pPr>
            <w:r>
              <w:rPr>
                <w:rFonts w:hint="eastAsia" w:ascii="仿宋_GB2312" w:hAnsi="宋体"/>
                <w:bCs/>
                <w:sz w:val="24"/>
              </w:rPr>
              <w:t>督促指导各地区和各类企业建立完善隐患排查治理“一张网”信息化管理系统，做到自查自改自报，实现动态分析、全过程记录管理和评价。</w:t>
            </w:r>
          </w:p>
        </w:tc>
        <w:tc>
          <w:tcPr>
            <w:tcW w:w="2268" w:type="dxa"/>
            <w:noWrap w:val="0"/>
            <w:vAlign w:val="center"/>
          </w:tcPr>
          <w:p>
            <w:pPr>
              <w:adjustRightInd w:val="0"/>
              <w:snapToGrid w:val="0"/>
              <w:spacing w:line="260" w:lineRule="exact"/>
              <w:rPr>
                <w:rFonts w:hint="eastAsia" w:ascii="仿宋_GB2312" w:hAnsi="宋体"/>
                <w:bCs/>
                <w:sz w:val="24"/>
              </w:rPr>
            </w:pPr>
            <w:r>
              <w:rPr>
                <w:rFonts w:hint="eastAsia" w:ascii="仿宋_GB2312" w:hAnsi="宋体"/>
                <w:bCs/>
                <w:sz w:val="24"/>
              </w:rPr>
              <w:t>企业使用隐患排查治理“一张网”信息化管理系统，实现隐患排查治理自查自改自报和动态分析、全过程记录管理及评价。</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查阅企业隐患排查治理“一张网”信息化管理系统运行情况。</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检查项。</w:t>
            </w:r>
          </w:p>
          <w:p>
            <w:pPr>
              <w:adjustRightInd w:val="0"/>
              <w:snapToGrid w:val="0"/>
              <w:spacing w:line="280" w:lineRule="exact"/>
              <w:rPr>
                <w:rFonts w:hint="eastAsia" w:ascii="仿宋_GB2312" w:hAnsi="宋体"/>
                <w:bCs/>
                <w:sz w:val="24"/>
              </w:rPr>
            </w:pPr>
            <w:r>
              <w:rPr>
                <w:rFonts w:hint="eastAsia" w:ascii="仿宋_GB2312" w:hAnsi="宋体"/>
                <w:bCs/>
                <w:sz w:val="24"/>
              </w:rPr>
              <w:t>已建信息系统地区，检查企业使用情况。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3879" w:type="dxa"/>
            <w:gridSpan w:val="7"/>
            <w:noWrap/>
            <w:vAlign w:val="center"/>
          </w:tcPr>
          <w:p>
            <w:pPr>
              <w:adjustRightInd w:val="0"/>
              <w:snapToGrid w:val="0"/>
              <w:spacing w:line="280" w:lineRule="exact"/>
              <w:rPr>
                <w:rFonts w:hint="eastAsia" w:ascii="仿宋_GB2312" w:hAnsi="宋体"/>
                <w:b/>
                <w:bCs/>
                <w:sz w:val="24"/>
              </w:rPr>
            </w:pPr>
            <w:r>
              <w:rPr>
                <w:rFonts w:hint="eastAsia" w:ascii="仿宋_GB2312" w:hAnsi="宋体"/>
                <w:b/>
                <w:bCs/>
                <w:sz w:val="24"/>
              </w:rPr>
              <w:t>(五) 推动企业安全生产社会治理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939" w:type="dxa"/>
            <w:noWrap/>
            <w:vAlign w:val="center"/>
          </w:tcPr>
          <w:p>
            <w:pPr>
              <w:adjustRightInd w:val="0"/>
              <w:snapToGrid w:val="0"/>
              <w:jc w:val="center"/>
              <w:rPr>
                <w:rFonts w:hint="eastAsia" w:ascii="仿宋_GB2312" w:hAnsi="宋体"/>
                <w:bCs/>
                <w:sz w:val="24"/>
              </w:rPr>
            </w:pPr>
            <w:r>
              <w:rPr>
                <w:rFonts w:hint="eastAsia" w:ascii="仿宋_GB2312" w:hAnsi="宋体"/>
                <w:bCs/>
                <w:sz w:val="24"/>
              </w:rPr>
              <w:t>20</w:t>
            </w:r>
          </w:p>
        </w:tc>
        <w:tc>
          <w:tcPr>
            <w:tcW w:w="3138" w:type="dxa"/>
            <w:noWrap w:val="0"/>
            <w:vAlign w:val="center"/>
          </w:tcPr>
          <w:p>
            <w:pPr>
              <w:adjustRightInd w:val="0"/>
              <w:snapToGrid w:val="0"/>
              <w:spacing w:line="260" w:lineRule="exact"/>
              <w:rPr>
                <w:rFonts w:hint="eastAsia" w:ascii="仿宋_GB2312" w:hAnsi="宋体"/>
                <w:bCs/>
                <w:spacing w:val="-4"/>
                <w:sz w:val="24"/>
              </w:rPr>
            </w:pPr>
            <w:r>
              <w:rPr>
                <w:rFonts w:hint="eastAsia" w:ascii="仿宋_GB2312" w:hAnsi="宋体"/>
                <w:bCs/>
                <w:spacing w:val="-4"/>
                <w:sz w:val="24"/>
              </w:rPr>
              <w:t>督促指导企业通过各种方式途径，向社会和全体员工公开落实主体责任、健全管理体系、加大安全投入、严格风险管控、强化隐患治理等情况。</w:t>
            </w:r>
          </w:p>
        </w:tc>
        <w:tc>
          <w:tcPr>
            <w:tcW w:w="226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企业公开向社会和全体员工作出承诺。</w:t>
            </w:r>
          </w:p>
        </w:tc>
        <w:tc>
          <w:tcPr>
            <w:tcW w:w="2694"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Cs/>
                <w:sz w:val="24"/>
              </w:rPr>
              <w:t>查阅企业安全生产承诺记录。</w:t>
            </w:r>
          </w:p>
        </w:tc>
        <w:tc>
          <w:tcPr>
            <w:tcW w:w="1404"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top"/>
          </w:tcPr>
          <w:p>
            <w:pPr>
              <w:adjustRightInd w:val="0"/>
              <w:snapToGrid w:val="0"/>
              <w:spacing w:line="280" w:lineRule="exact"/>
              <w:rPr>
                <w:rFonts w:hint="eastAsia" w:ascii="仿宋_GB2312" w:hAnsi="宋体"/>
                <w:b/>
                <w:bCs/>
                <w:sz w:val="24"/>
              </w:rPr>
            </w:pPr>
          </w:p>
        </w:tc>
        <w:tc>
          <w:tcPr>
            <w:tcW w:w="1718" w:type="dxa"/>
            <w:noWrap w:val="0"/>
            <w:vAlign w:val="center"/>
          </w:tcPr>
          <w:p>
            <w:pPr>
              <w:adjustRightInd w:val="0"/>
              <w:snapToGrid w:val="0"/>
              <w:spacing w:line="280" w:lineRule="exact"/>
              <w:rPr>
                <w:rFonts w:hint="eastAsia" w:ascii="仿宋_GB2312" w:hAnsi="宋体"/>
                <w:bCs/>
                <w:sz w:val="24"/>
              </w:rPr>
            </w:pPr>
            <w:r>
              <w:rPr>
                <w:rFonts w:hint="eastAsia" w:ascii="仿宋_GB2312" w:hAnsi="宋体"/>
                <w:b/>
                <w:bCs/>
                <w:sz w:val="24"/>
              </w:rPr>
              <w:t>检查项。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8029D"/>
    <w:rsid w:val="5E080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2020-09-10T07:54:00Z</dcterms:created>
  <dc:creator>欢欢欢</dc:creator>
  <cp:lastModifiedBy>欢欢欢</cp:lastModifiedBy>
  <dcterms:modified xsi:type="dcterms:W3CDTF">2020-09-10T07:55:13Z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