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s="Times New Roman"/>
          <w:b/>
          <w:sz w:val="44"/>
          <w:szCs w:val="44"/>
        </w:rPr>
      </w:pPr>
      <w:r>
        <w:rPr>
          <w:rFonts w:hint="eastAsia" w:ascii="方正小标宋简体" w:eastAsia="方正小标宋简体" w:cs="Times New Roman"/>
          <w:color w:val="000000"/>
          <w:sz w:val="44"/>
          <w:szCs w:val="44"/>
        </w:rPr>
        <w:t>武进区应急管理局新型冠状病毒感染的肺炎疫情企业防控组工作方案</w:t>
      </w:r>
    </w:p>
    <w:p>
      <w:pPr>
        <w:tabs>
          <w:tab w:val="left" w:pos="7158"/>
        </w:tabs>
        <w:spacing w:line="560" w:lineRule="exact"/>
        <w:rPr>
          <w:rFonts w:hint="eastAsia" w:ascii="Times New Roman" w:eastAsia="仿宋_GB2312" w:cs="Times New Roman"/>
          <w:sz w:val="32"/>
          <w:szCs w:val="32"/>
        </w:rPr>
      </w:pPr>
      <w:r>
        <w:rPr>
          <w:rFonts w:ascii="Times New Roman" w:eastAsia="仿宋_GB2312" w:cs="Times New Roman"/>
          <w:sz w:val="32"/>
          <w:szCs w:val="32"/>
        </w:rPr>
        <w:tab/>
      </w:r>
    </w:p>
    <w:p>
      <w:pPr>
        <w:spacing w:line="560" w:lineRule="exact"/>
        <w:ind w:firstLine="640" w:firstLineChars="200"/>
        <w:rPr>
          <w:rFonts w:hint="eastAsia" w:ascii="仿宋" w:eastAsia="仿宋" w:cs="Times New Roman"/>
          <w:sz w:val="32"/>
          <w:szCs w:val="32"/>
        </w:rPr>
      </w:pPr>
      <w:r>
        <w:rPr>
          <w:rFonts w:ascii="Times New Roman" w:eastAsia="仿宋_GB2312" w:cs="Times New Roman"/>
          <w:sz w:val="32"/>
          <w:szCs w:val="32"/>
        </w:rPr>
        <w:t>根据《</w:t>
      </w:r>
      <w:r>
        <w:rPr>
          <w:rFonts w:hint="eastAsia" w:ascii="仿宋_GB2312" w:eastAsia="仿宋_GB2312" w:cs="Times New Roman"/>
          <w:sz w:val="32"/>
          <w:szCs w:val="32"/>
        </w:rPr>
        <w:t>常州市武进区新型冠状病毒感染的肺炎疫情防控应急指挥部企业防控组工作方案</w:t>
      </w:r>
      <w:r>
        <w:rPr>
          <w:rFonts w:ascii="Times New Roman" w:eastAsia="仿宋_GB2312" w:cs="Times New Roman"/>
          <w:sz w:val="32"/>
          <w:szCs w:val="32"/>
        </w:rPr>
        <w:t>》</w:t>
      </w:r>
      <w:r>
        <w:rPr>
          <w:rFonts w:hint="eastAsia" w:ascii="Times New Roman" w:eastAsia="仿宋_GB2312" w:cs="Times New Roman"/>
          <w:sz w:val="32"/>
          <w:szCs w:val="32"/>
        </w:rPr>
        <w:t>精神</w:t>
      </w:r>
      <w:r>
        <w:rPr>
          <w:rFonts w:ascii="Times New Roman" w:eastAsia="仿宋_GB2312" w:cs="Times New Roman"/>
          <w:sz w:val="32"/>
          <w:szCs w:val="32"/>
        </w:rPr>
        <w:t>，</w:t>
      </w:r>
      <w:r>
        <w:rPr>
          <w:rFonts w:hint="eastAsia" w:ascii="Times New Roman" w:eastAsia="仿宋_GB2312" w:cs="Times New Roman"/>
          <w:sz w:val="32"/>
          <w:szCs w:val="32"/>
        </w:rPr>
        <w:t>制定</w:t>
      </w:r>
      <w:r>
        <w:rPr>
          <w:rFonts w:hint="eastAsia" w:ascii="仿宋_GB2312" w:eastAsia="仿宋_GB2312" w:cs="Times New Roman"/>
          <w:sz w:val="32"/>
          <w:szCs w:val="32"/>
        </w:rPr>
        <w:t>《</w:t>
      </w:r>
      <w:r>
        <w:rPr>
          <w:rFonts w:ascii="Times New Roman" w:eastAsia="仿宋_GB2312" w:cs="Times New Roman"/>
          <w:color w:val="000000"/>
          <w:sz w:val="32"/>
          <w:szCs w:val="32"/>
        </w:rPr>
        <w:t>武进区应急管理局新型冠状病毒感染的肺炎疫情企业防控组工作方案</w:t>
      </w:r>
      <w:r>
        <w:rPr>
          <w:rFonts w:hint="eastAsia" w:ascii="仿宋_GB2312" w:eastAsia="仿宋_GB2312" w:cs="Times New Roman"/>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工作职责</w:t>
      </w:r>
    </w:p>
    <w:p>
      <w:pPr>
        <w:spacing w:line="560" w:lineRule="exact"/>
        <w:ind w:firstLine="640" w:firstLineChars="200"/>
        <w:rPr>
          <w:rFonts w:hint="eastAsia" w:ascii="Times New Roman" w:eastAsia="仿宋_GB2312" w:cs="Times New Roman"/>
          <w:sz w:val="32"/>
          <w:szCs w:val="32"/>
        </w:rPr>
      </w:pPr>
      <w:r>
        <w:rPr>
          <w:rFonts w:ascii="Times New Roman" w:eastAsia="仿宋_GB2312" w:cs="Times New Roman"/>
          <w:sz w:val="32"/>
          <w:szCs w:val="32"/>
        </w:rPr>
        <w:t>指导复工企业做好相关应急管理工作</w:t>
      </w:r>
      <w:r>
        <w:rPr>
          <w:rFonts w:hint="eastAsia" w:ascii="Times New Roman" w:eastAsia="仿宋_GB2312" w:cs="Times New Roman"/>
          <w:sz w:val="32"/>
          <w:szCs w:val="32"/>
        </w:rPr>
        <w:t>；督促企业</w:t>
      </w:r>
      <w:r>
        <w:rPr>
          <w:rFonts w:ascii="Times New Roman" w:eastAsia="仿宋_GB2312" w:cs="Times New Roman"/>
          <w:sz w:val="32"/>
          <w:szCs w:val="32"/>
        </w:rPr>
        <w:t>落实安全生产</w:t>
      </w:r>
      <w:r>
        <w:rPr>
          <w:rFonts w:hint="eastAsia" w:ascii="Times New Roman" w:eastAsia="仿宋_GB2312" w:cs="Times New Roman"/>
          <w:sz w:val="32"/>
          <w:szCs w:val="32"/>
        </w:rPr>
        <w:t>主体责任，</w:t>
      </w:r>
      <w:r>
        <w:rPr>
          <w:rFonts w:ascii="Times New Roman" w:eastAsia="仿宋_GB2312" w:cs="Times New Roman"/>
          <w:sz w:val="32"/>
          <w:szCs w:val="32"/>
        </w:rPr>
        <w:t>做好复工复产方案制定、安全生产教育培训、隐患排查治理、风险分级管控、危险作业管理、应急预案演练等工作</w:t>
      </w:r>
      <w:r>
        <w:rPr>
          <w:rFonts w:hint="eastAsia" w:ascii="Times New Roman" w:eastAsia="仿宋_GB2312" w:cs="Times New Roman"/>
          <w:sz w:val="32"/>
          <w:szCs w:val="32"/>
        </w:rPr>
        <w:t>；</w:t>
      </w:r>
      <w:r>
        <w:rPr>
          <w:rFonts w:ascii="Times New Roman" w:eastAsia="仿宋_GB2312" w:cs="Times New Roman"/>
          <w:sz w:val="32"/>
          <w:szCs w:val="32"/>
        </w:rPr>
        <w:t>加强复工复产生产安全宣传引导，营造安全生产氛围；加大复工复产安全监管检查与服务，规范企业安全生产行为；</w:t>
      </w:r>
      <w:r>
        <w:rPr>
          <w:rFonts w:ascii="Times New Roman" w:eastAsia="仿宋_GB2312"/>
          <w:color w:val="000000"/>
          <w:sz w:val="32"/>
          <w:szCs w:val="32"/>
        </w:rPr>
        <w:t>完成</w:t>
      </w:r>
      <w:r>
        <w:rPr>
          <w:rFonts w:hint="eastAsia" w:ascii="Times New Roman" w:eastAsia="仿宋_GB2312"/>
          <w:color w:val="000000"/>
          <w:sz w:val="32"/>
          <w:szCs w:val="32"/>
        </w:rPr>
        <w:t>区</w:t>
      </w:r>
      <w:r>
        <w:rPr>
          <w:rFonts w:ascii="Times New Roman" w:eastAsia="仿宋_GB2312"/>
          <w:color w:val="000000"/>
          <w:sz w:val="32"/>
          <w:szCs w:val="32"/>
        </w:rPr>
        <w:t>疫情</w:t>
      </w:r>
      <w:r>
        <w:rPr>
          <w:rFonts w:hint="eastAsia" w:ascii="Times New Roman" w:eastAsia="仿宋_GB2312"/>
          <w:color w:val="000000"/>
          <w:sz w:val="32"/>
          <w:szCs w:val="32"/>
        </w:rPr>
        <w:t>防控应急指挥部交办的其他工作。</w:t>
      </w:r>
    </w:p>
    <w:p>
      <w:pPr>
        <w:adjustRightInd w:val="0"/>
        <w:snapToGrid w:val="0"/>
        <w:spacing w:line="560" w:lineRule="atLeast"/>
        <w:ind w:firstLine="640"/>
        <w:rPr>
          <w:rFonts w:hint="eastAsia" w:ascii="黑体" w:hAnsi="黑体" w:eastAsia="黑体"/>
          <w:color w:val="000000"/>
          <w:sz w:val="32"/>
          <w:szCs w:val="32"/>
        </w:rPr>
      </w:pPr>
      <w:r>
        <w:rPr>
          <w:rFonts w:hint="eastAsia" w:ascii="黑体" w:hAnsi="黑体" w:eastAsia="黑体" w:cs="Times New Roman"/>
          <w:sz w:val="32"/>
          <w:szCs w:val="32"/>
        </w:rPr>
        <w:t>二、</w:t>
      </w:r>
      <w:r>
        <w:rPr>
          <w:rFonts w:ascii="黑体" w:hAnsi="黑体" w:eastAsia="黑体" w:cs="Times New Roman"/>
          <w:sz w:val="32"/>
          <w:szCs w:val="32"/>
        </w:rPr>
        <w:t>组织结构</w:t>
      </w:r>
      <w:r>
        <w:rPr>
          <w:rFonts w:hint="eastAsia" w:ascii="黑体" w:hAnsi="黑体" w:eastAsia="黑体"/>
          <w:color w:val="000000"/>
          <w:sz w:val="32"/>
          <w:szCs w:val="32"/>
        </w:rPr>
        <w:t>及职责分工</w:t>
      </w:r>
    </w:p>
    <w:p>
      <w:pPr>
        <w:adjustRightInd w:val="0"/>
        <w:snapToGrid w:val="0"/>
        <w:spacing w:line="560" w:lineRule="atLeast"/>
        <w:ind w:firstLine="640"/>
        <w:rPr>
          <w:rFonts w:hint="eastAsia" w:ascii="楷体_GB2312" w:hAnsi="楷体" w:eastAsia="楷体_GB2312"/>
          <w:color w:val="000000"/>
          <w:sz w:val="32"/>
          <w:szCs w:val="32"/>
        </w:rPr>
      </w:pPr>
      <w:r>
        <w:rPr>
          <w:rFonts w:hint="eastAsia" w:ascii="楷体_GB2312" w:hAnsi="楷体" w:eastAsia="楷体_GB2312"/>
          <w:color w:val="000000"/>
          <w:sz w:val="32"/>
          <w:szCs w:val="32"/>
        </w:rPr>
        <w:t>1.组织机构</w:t>
      </w:r>
    </w:p>
    <w:p>
      <w:pPr>
        <w:adjustRightInd w:val="0"/>
        <w:snapToGrid w:val="0"/>
        <w:spacing w:line="560" w:lineRule="atLeast"/>
        <w:ind w:firstLine="640"/>
        <w:rPr>
          <w:rFonts w:hint="eastAsia" w:ascii="Times New Roman" w:eastAsia="仿宋_GB2312"/>
          <w:color w:val="000000"/>
          <w:sz w:val="32"/>
          <w:szCs w:val="32"/>
        </w:rPr>
      </w:pPr>
      <w:r>
        <w:rPr>
          <w:rFonts w:ascii="Times New Roman" w:eastAsia="仿宋_GB2312"/>
          <w:color w:val="000000"/>
          <w:sz w:val="32"/>
          <w:szCs w:val="32"/>
        </w:rPr>
        <w:t>成立区应急管理局企业防控工作小组</w:t>
      </w:r>
      <w:r>
        <w:rPr>
          <w:rFonts w:hint="eastAsia" w:ascii="Times New Roman" w:eastAsia="仿宋_GB2312"/>
          <w:color w:val="000000"/>
          <w:sz w:val="32"/>
          <w:szCs w:val="32"/>
        </w:rPr>
        <w:t>，办公室设在</w:t>
      </w:r>
      <w:r>
        <w:rPr>
          <w:rFonts w:ascii="Times New Roman" w:eastAsia="仿宋_GB2312"/>
          <w:color w:val="000000"/>
          <w:sz w:val="32"/>
          <w:szCs w:val="32"/>
        </w:rPr>
        <w:t>局基础科</w:t>
      </w:r>
      <w:r>
        <w:rPr>
          <w:rFonts w:hint="eastAsia" w:ascii="Times New Roman" w:eastAsia="仿宋_GB2312"/>
          <w:color w:val="000000"/>
          <w:sz w:val="32"/>
          <w:szCs w:val="32"/>
        </w:rPr>
        <w:t>。</w:t>
      </w:r>
    </w:p>
    <w:p>
      <w:pPr>
        <w:adjustRightInd w:val="0"/>
        <w:snapToGrid w:val="0"/>
        <w:spacing w:line="560" w:lineRule="atLeast"/>
        <w:ind w:firstLine="640"/>
        <w:rPr>
          <w:rFonts w:ascii="Times New Roman" w:eastAsia="仿宋_GB2312"/>
          <w:color w:val="000000"/>
          <w:sz w:val="32"/>
          <w:szCs w:val="32"/>
        </w:rPr>
      </w:pPr>
      <w:r>
        <w:rPr>
          <w:rFonts w:hint="eastAsia" w:ascii="Times New Roman" w:eastAsia="仿宋_GB2312"/>
          <w:color w:val="000000"/>
          <w:sz w:val="32"/>
          <w:szCs w:val="32"/>
        </w:rPr>
        <w:t>组  长：区</w:t>
      </w:r>
      <w:r>
        <w:rPr>
          <w:rFonts w:eastAsia="仿宋_GB2312"/>
          <w:color w:val="000000"/>
          <w:sz w:val="32"/>
          <w:szCs w:val="32"/>
        </w:rPr>
        <w:t>应急管理局局长</w:t>
      </w:r>
      <w:r>
        <w:rPr>
          <w:rFonts w:hint="eastAsia" w:eastAsia="仿宋_GB2312"/>
          <w:color w:val="000000"/>
          <w:sz w:val="32"/>
          <w:szCs w:val="32"/>
        </w:rPr>
        <w:t xml:space="preserve">        </w:t>
      </w:r>
      <w:r>
        <w:rPr>
          <w:rFonts w:eastAsia="仿宋_GB2312"/>
          <w:color w:val="000000"/>
          <w:sz w:val="32"/>
          <w:szCs w:val="32"/>
        </w:rPr>
        <w:t xml:space="preserve">         曹雄伟</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副组长：区应急管理局副局长</w:t>
      </w:r>
      <w:r>
        <w:rPr>
          <w:rFonts w:hint="eastAsia" w:ascii="Times New Roman" w:eastAsia="仿宋_GB2312"/>
          <w:color w:val="000000"/>
          <w:sz w:val="32"/>
          <w:szCs w:val="32"/>
        </w:rPr>
        <w:t xml:space="preserve">      </w:t>
      </w:r>
      <w:r>
        <w:rPr>
          <w:rFonts w:ascii="Times New Roman" w:eastAsia="仿宋_GB2312"/>
          <w:color w:val="000000"/>
          <w:sz w:val="32"/>
          <w:szCs w:val="32"/>
        </w:rPr>
        <w:t xml:space="preserve">         杨志海</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 xml:space="preserve">        区应急管理局副局长               巢鸿泉</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 xml:space="preserve">        区应急管理局副局长               尤霄峰</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 xml:space="preserve">        区安全生产监察执法大队大队长     刘红玉</w:t>
      </w:r>
    </w:p>
    <w:p>
      <w:pPr>
        <w:adjustRightInd w:val="0"/>
        <w:snapToGrid w:val="0"/>
        <w:spacing w:line="560" w:lineRule="atLeast"/>
        <w:ind w:firstLine="640"/>
        <w:rPr>
          <w:rFonts w:hint="eastAsia" w:ascii="Times New Roman" w:eastAsia="仿宋_GB2312"/>
          <w:color w:val="000000"/>
          <w:sz w:val="32"/>
          <w:szCs w:val="32"/>
        </w:rPr>
      </w:pPr>
      <w:r>
        <w:rPr>
          <w:rFonts w:hint="eastAsia" w:ascii="Times New Roman" w:eastAsia="仿宋_GB2312"/>
          <w:color w:val="000000"/>
          <w:sz w:val="32"/>
          <w:szCs w:val="32"/>
        </w:rPr>
        <w:t>成  员：</w:t>
      </w:r>
      <w:r>
        <w:rPr>
          <w:rFonts w:ascii="Times New Roman" w:eastAsia="仿宋_GB2312"/>
          <w:color w:val="000000"/>
          <w:sz w:val="32"/>
          <w:szCs w:val="32"/>
        </w:rPr>
        <w:t>陆燕群、李俊、姜涛、冯兰、朱晓波、王志华、陈旭平、吕相华</w:t>
      </w:r>
      <w:r>
        <w:rPr>
          <w:rFonts w:hint="eastAsia" w:ascii="Times New Roman" w:eastAsia="仿宋_GB2312"/>
          <w:color w:val="000000"/>
          <w:sz w:val="32"/>
          <w:szCs w:val="32"/>
        </w:rPr>
        <w:t>。</w:t>
      </w:r>
    </w:p>
    <w:p>
      <w:pPr>
        <w:adjustRightInd w:val="0"/>
        <w:snapToGrid w:val="0"/>
        <w:spacing w:line="560" w:lineRule="atLeast"/>
        <w:ind w:firstLine="640"/>
        <w:rPr>
          <w:rFonts w:hint="eastAsia" w:ascii="楷体_GB2312" w:hAnsi="楷体" w:eastAsia="楷体_GB2312"/>
          <w:color w:val="000000"/>
          <w:sz w:val="32"/>
          <w:szCs w:val="32"/>
        </w:rPr>
      </w:pPr>
      <w:r>
        <w:rPr>
          <w:rFonts w:hint="eastAsia" w:ascii="楷体_GB2312" w:hAnsi="楷体" w:eastAsia="楷体_GB2312"/>
          <w:color w:val="000000"/>
          <w:sz w:val="32"/>
          <w:szCs w:val="32"/>
        </w:rPr>
        <w:t>2.相关科室、大队职责</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办公室</w:t>
      </w:r>
      <w:r>
        <w:rPr>
          <w:rFonts w:hint="eastAsia" w:ascii="Times New Roman" w:eastAsia="仿宋_GB2312"/>
          <w:color w:val="000000"/>
          <w:sz w:val="32"/>
          <w:szCs w:val="32"/>
        </w:rPr>
        <w:t>：</w:t>
      </w:r>
      <w:r>
        <w:rPr>
          <w:rFonts w:ascii="Times New Roman" w:eastAsia="仿宋_GB2312"/>
          <w:color w:val="000000"/>
          <w:sz w:val="32"/>
          <w:szCs w:val="32"/>
        </w:rPr>
        <w:t>传达市委市政府、</w:t>
      </w:r>
      <w:r>
        <w:rPr>
          <w:rFonts w:hint="eastAsia" w:ascii="Times New Roman" w:eastAsia="仿宋_GB2312"/>
          <w:color w:val="000000"/>
          <w:sz w:val="32"/>
          <w:szCs w:val="32"/>
        </w:rPr>
        <w:t>区委区政府关于企业防控的指示要求</w:t>
      </w:r>
      <w:r>
        <w:rPr>
          <w:rFonts w:ascii="Times New Roman" w:eastAsia="仿宋_GB2312"/>
          <w:color w:val="000000"/>
          <w:sz w:val="32"/>
          <w:szCs w:val="32"/>
        </w:rPr>
        <w:t>。</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应急指挥中心：指导企业生产安全事故应急救援预案的演练；报送疫情防控期间对企业开展相关防控措施等内容。</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调查减灾科：做好疫情防控期间企业生产安全事故的调查处理；报送疫情防控期间对企业开展相关防控措施等内容。</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危险化学品监督管理科：做好疫情防控期间危化企业安全生产的督促、指导工作，尤其是复工复产期间的安全生产指导与监督检查工作；报送疫情防控期间对企业开展相关防控措施等内容。</w:t>
      </w:r>
    </w:p>
    <w:p>
      <w:pPr>
        <w:adjustRightInd w:val="0"/>
        <w:snapToGrid w:val="0"/>
        <w:spacing w:line="560" w:lineRule="atLeast"/>
        <w:ind w:firstLine="640"/>
        <w:rPr>
          <w:rFonts w:ascii="Times New Roman" w:eastAsia="仿宋_GB2312"/>
          <w:sz w:val="32"/>
          <w:szCs w:val="32"/>
        </w:rPr>
      </w:pPr>
      <w:r>
        <w:rPr>
          <w:rFonts w:ascii="Times New Roman" w:eastAsia="仿宋_GB2312"/>
          <w:color w:val="000000"/>
          <w:sz w:val="32"/>
          <w:szCs w:val="32"/>
        </w:rPr>
        <w:t>安全生产基础科：做好疫情防控期间工贸企业安全生产的督促、指导工作，尤其是复工复产期间的安全生产指导与监督检查工作；报送疫情防控期间对企业开展相关防控措施等内容；</w:t>
      </w:r>
      <w:r>
        <w:rPr>
          <w:rFonts w:hint="eastAsia" w:ascii="Times New Roman" w:eastAsia="仿宋_GB2312"/>
          <w:sz w:val="32"/>
          <w:szCs w:val="32"/>
        </w:rPr>
        <w:t>及时汇总整理并反馈工作信息。</w:t>
      </w:r>
    </w:p>
    <w:p>
      <w:pPr>
        <w:adjustRightInd w:val="0"/>
        <w:snapToGrid w:val="0"/>
        <w:spacing w:line="560" w:lineRule="atLeast"/>
        <w:ind w:firstLine="640"/>
        <w:rPr>
          <w:rFonts w:ascii="Times New Roman" w:eastAsia="仿宋_GB2312"/>
          <w:color w:val="000000"/>
          <w:sz w:val="32"/>
          <w:szCs w:val="32"/>
        </w:rPr>
      </w:pPr>
      <w:r>
        <w:rPr>
          <w:rFonts w:ascii="Times New Roman" w:eastAsia="仿宋_GB2312"/>
          <w:color w:val="000000"/>
          <w:sz w:val="32"/>
          <w:szCs w:val="32"/>
        </w:rPr>
        <w:t>法制宣传科：做好疫情防控期间安全生产宣传报道工作，营造良好、稳定的安全生产氛围；报送疫情防控期间对企业开展相关防控措施等内容。</w:t>
      </w:r>
    </w:p>
    <w:p>
      <w:pPr>
        <w:adjustRightInd w:val="0"/>
        <w:snapToGrid w:val="0"/>
        <w:spacing w:line="560" w:lineRule="atLeast"/>
        <w:ind w:firstLine="640"/>
        <w:rPr>
          <w:rFonts w:hint="eastAsia" w:ascii="Times New Roman" w:eastAsia="仿宋_GB2312"/>
          <w:color w:val="000000"/>
          <w:sz w:val="32"/>
          <w:szCs w:val="32"/>
        </w:rPr>
      </w:pPr>
      <w:r>
        <w:rPr>
          <w:rFonts w:ascii="Times New Roman" w:eastAsia="仿宋_GB2312"/>
          <w:color w:val="000000"/>
          <w:sz w:val="32"/>
          <w:szCs w:val="32"/>
        </w:rPr>
        <w:t>执法大队：做好疫情防控期间对企业的安全生产执法检查，严厉打击安全生产非法违法行为；报送疫情防控期间对企业开展相关防控措施等内容。</w:t>
      </w:r>
    </w:p>
    <w:p>
      <w:pPr>
        <w:spacing w:line="560" w:lineRule="exact"/>
        <w:ind w:firstLine="63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工作内容</w:t>
      </w:r>
    </w:p>
    <w:p>
      <w:pPr>
        <w:spacing w:line="560" w:lineRule="exact"/>
        <w:ind w:firstLine="630"/>
        <w:rPr>
          <w:rFonts w:hint="eastAsia" w:ascii="仿宋_GB2312" w:eastAsia="仿宋_GB2312" w:cs="仿宋_GB2312"/>
          <w:sz w:val="32"/>
          <w:szCs w:val="32"/>
        </w:rPr>
      </w:pPr>
      <w:r>
        <w:rPr>
          <w:rFonts w:hint="eastAsia" w:ascii="仿宋_GB2312" w:eastAsia="仿宋_GB2312" w:cs="仿宋_GB2312"/>
          <w:sz w:val="32"/>
          <w:szCs w:val="32"/>
        </w:rPr>
        <w:t>围绕近期下发的《区应急管理局关于切实做好全区节后复工复产企业安全生产工作的通知》要求，扎实开展疫情防控期间对企业的安全生产监督管理工作。</w:t>
      </w:r>
    </w:p>
    <w:p>
      <w:pPr>
        <w:spacing w:line="560" w:lineRule="exact"/>
        <w:ind w:firstLine="640" w:firstLineChars="200"/>
        <w:rPr>
          <w:rFonts w:ascii="Times New Roman" w:eastAsia="仿宋_GB2312" w:cs="Times New Roman"/>
          <w:b/>
          <w:sz w:val="32"/>
          <w:szCs w:val="32"/>
        </w:rPr>
      </w:pPr>
      <w:r>
        <w:rPr>
          <w:rFonts w:hint="eastAsia" w:ascii="楷体_GB2312" w:hAnsi="楷体" w:eastAsia="楷体_GB2312" w:cs="Times New Roman"/>
          <w:sz w:val="32"/>
          <w:szCs w:val="32"/>
        </w:rPr>
        <w:t>1.加强指导，督促企业落实安全生产责任。</w:t>
      </w:r>
      <w:r>
        <w:rPr>
          <w:rFonts w:hint="eastAsia" w:ascii="仿宋_GB2312" w:eastAsia="仿宋_GB2312" w:cs="仿宋_GB2312"/>
          <w:sz w:val="32"/>
          <w:szCs w:val="32"/>
        </w:rPr>
        <w:t>充分认识做好疫情防控期间安全生产工作的重要性、复杂性，充分考虑影响生产安全的各种因素，增强责任意识，强化组织领导，结合武进区安全生产专项整治各项工作要求，督促、指导企业周密安排，科学制定复产复工方案，严格落实安全防范措施。针对化工</w:t>
      </w:r>
      <w:r>
        <w:rPr>
          <w:rFonts w:hint="eastAsia" w:ascii="仿宋_GB2312" w:eastAsia="仿宋_GB2312" w:cs="仿宋_GB2312"/>
          <w:color w:val="000000"/>
          <w:sz w:val="32"/>
          <w:szCs w:val="32"/>
        </w:rPr>
        <w:t>、冶金等高危</w:t>
      </w:r>
      <w:r>
        <w:rPr>
          <w:rFonts w:hint="eastAsia" w:ascii="仿宋_GB2312" w:eastAsia="仿宋_GB2312" w:cs="仿宋_GB2312"/>
          <w:sz w:val="32"/>
          <w:szCs w:val="32"/>
        </w:rPr>
        <w:t>企业复工复产期间可能出现的危险因素，指导企业制定相应的对策措施，确保一旦出现险情，能够做到反应灵敏、处置果断、救援有效。全区所有化工企业复工复产方案必须经区应急管理局审核通过后，方可复产。区工贸重点企业复工复产方案必须经属地安监科审核通过后，方可复产，区应急管理局将随机抽查工贸企业复工复产方案，并进行现场核查。</w:t>
      </w:r>
    </w:p>
    <w:p>
      <w:pPr>
        <w:spacing w:line="560" w:lineRule="exact"/>
        <w:ind w:firstLine="640" w:firstLineChars="200"/>
        <w:rPr>
          <w:rFonts w:ascii="Times New Roman" w:eastAsia="仿宋_GB2312" w:cs="Times New Roman"/>
          <w:sz w:val="32"/>
          <w:szCs w:val="32"/>
        </w:rPr>
      </w:pPr>
      <w:r>
        <w:rPr>
          <w:rFonts w:hint="eastAsia" w:ascii="楷体_GB2312" w:hAnsi="楷体" w:eastAsia="楷体_GB2312" w:cs="Times New Roman"/>
          <w:sz w:val="32"/>
          <w:szCs w:val="32"/>
        </w:rPr>
        <w:t>2.强化宣传，营造疫情防控期间安全、平稳生产环境。</w:t>
      </w:r>
      <w:r>
        <w:rPr>
          <w:rFonts w:hint="eastAsia" w:ascii="仿宋_GB2312" w:eastAsia="仿宋_GB2312" w:cs="仿宋_GB2312"/>
          <w:sz w:val="32"/>
          <w:szCs w:val="32"/>
        </w:rPr>
        <w:t>经过一段时间的停产，企业员工精力分散、设备设施停止运行、新员工陆续上岗，加上近期疫情造成的影响，企业不能很快达到正常的工作状态。法制宣传科要加强疫情防控和安全生产的宣传，一方面要围绕疫情防控的重要性、必要性和疫情防控期间安全生产的重要性、必要性进行宣传，另一方面，要从在疫情防控期间企业如何做好安全生产工作方面进行宣传。</w:t>
      </w:r>
    </w:p>
    <w:p>
      <w:pPr>
        <w:spacing w:line="560" w:lineRule="exact"/>
        <w:ind w:firstLine="640" w:firstLineChars="200"/>
        <w:rPr>
          <w:rFonts w:hint="eastAsia" w:ascii="仿宋_GB2312" w:eastAsia="仿宋_GB2312" w:cs="仿宋_GB2312"/>
          <w:sz w:val="32"/>
          <w:szCs w:val="32"/>
        </w:rPr>
      </w:pPr>
      <w:r>
        <w:rPr>
          <w:rFonts w:hint="eastAsia" w:ascii="楷体_GB2312" w:hAnsi="楷体" w:eastAsia="楷体_GB2312" w:cs="Times New Roman"/>
          <w:sz w:val="32"/>
          <w:szCs w:val="32"/>
        </w:rPr>
        <w:t>3.严格执法，创造良好安全的生产形势。</w:t>
      </w:r>
      <w:r>
        <w:rPr>
          <w:rFonts w:hint="eastAsia" w:ascii="仿宋_GB2312" w:eastAsia="仿宋_GB2312" w:cs="仿宋_GB2312"/>
          <w:sz w:val="32"/>
          <w:szCs w:val="32"/>
        </w:rPr>
        <w:t>一是按照年度执法计划、双随机计划、四不两直要求严肃开展执法检查，对企业存在的违法违规行为，采取处罚措施。二是对疫情防控期间群众举报案件，要严格全面核查，对核查属实的非法违法行为，坚决予以处罚，全力营造良好安全平稳的企业生产环境。</w:t>
      </w:r>
    </w:p>
    <w:p>
      <w:pPr>
        <w:spacing w:line="560" w:lineRule="exact"/>
        <w:ind w:firstLine="640" w:firstLineChars="200"/>
        <w:rPr>
          <w:rFonts w:hint="eastAsia" w:ascii="仿宋_GB2312" w:eastAsia="仿宋_GB2312" w:cs="仿宋_GB2312"/>
          <w:sz w:val="32"/>
          <w:szCs w:val="32"/>
        </w:rPr>
      </w:pPr>
      <w:r>
        <w:rPr>
          <w:rFonts w:hint="eastAsia" w:ascii="楷体_GB2312" w:hAnsi="楷体" w:eastAsia="楷体_GB2312" w:cs="Times New Roman"/>
          <w:sz w:val="32"/>
          <w:szCs w:val="32"/>
        </w:rPr>
        <w:t>4.突出服务，保障相关企业疫情防控期间的安全生产。</w:t>
      </w:r>
      <w:r>
        <w:rPr>
          <w:rFonts w:hint="eastAsia" w:ascii="仿宋_GB2312" w:eastAsia="仿宋_GB2312" w:cs="仿宋_GB2312"/>
          <w:sz w:val="32"/>
          <w:szCs w:val="32"/>
        </w:rPr>
        <w:t>把生产口罩、消毒液、防护服、检测试剂及其他防疫用品的企业作为重点服务对象，协调专家深入企业，开展安全技术指导，推动解决实际困难和问题，提供坚实的安全服务保障。</w:t>
      </w:r>
    </w:p>
    <w:p>
      <w:pPr>
        <w:spacing w:line="560" w:lineRule="exact"/>
        <w:ind w:firstLine="630"/>
        <w:rPr>
          <w:rFonts w:ascii="黑体" w:hAnsi="黑体" w:eastAsia="黑体" w:cs="Times New Roman"/>
          <w:sz w:val="32"/>
          <w:szCs w:val="32"/>
        </w:rPr>
      </w:pPr>
      <w:r>
        <w:rPr>
          <w:rFonts w:hint="eastAsia" w:ascii="黑体" w:hAnsi="黑体" w:eastAsia="黑体" w:cs="Times New Roman"/>
          <w:sz w:val="32"/>
          <w:szCs w:val="32"/>
        </w:rPr>
        <w:t>四、工作要求</w:t>
      </w:r>
    </w:p>
    <w:p>
      <w:pPr>
        <w:spacing w:line="560" w:lineRule="exact"/>
        <w:ind w:firstLine="630"/>
        <w:rPr>
          <w:rFonts w:hint="eastAsia" w:ascii="仿宋_GB2312" w:eastAsia="仿宋_GB2312" w:cs="Times New Roman"/>
          <w:sz w:val="32"/>
          <w:szCs w:val="32"/>
        </w:rPr>
      </w:pPr>
      <w:r>
        <w:rPr>
          <w:rFonts w:hint="eastAsia" w:ascii="仿宋_GB2312" w:eastAsia="仿宋_GB2312" w:cs="Times New Roman"/>
          <w:sz w:val="32"/>
          <w:szCs w:val="32"/>
        </w:rPr>
        <w:t>1.企业防控情况复杂，涉及广泛，局相关科室、大队要提高站位，统筹谋划，积极应对，研究解决存在问题，切实有效推进职责范围内企业防控各项工作；</w:t>
      </w:r>
    </w:p>
    <w:p>
      <w:pPr>
        <w:spacing w:line="560" w:lineRule="exact"/>
        <w:ind w:firstLine="630"/>
        <w:rPr>
          <w:rFonts w:hint="eastAsia" w:ascii="仿宋_GB2312" w:eastAsia="仿宋_GB2312" w:cs="Times New Roman"/>
          <w:sz w:val="32"/>
          <w:szCs w:val="32"/>
        </w:rPr>
      </w:pPr>
      <w:r>
        <w:rPr>
          <w:rFonts w:hint="eastAsia" w:ascii="仿宋_GB2312" w:eastAsia="仿宋_GB2312" w:cs="Times New Roman"/>
          <w:sz w:val="32"/>
          <w:szCs w:val="32"/>
        </w:rPr>
        <w:t>2.局相关科室、大队要根据职责分工，指定专人将有关企业防控的主要措施和最新成效等工作信息（附件1、2），于每日上午10:00前报送局基础科。没有情况须“零报告”，遇有重要情况随时报；</w:t>
      </w:r>
    </w:p>
    <w:p>
      <w:pPr>
        <w:spacing w:line="560" w:lineRule="exact"/>
        <w:ind w:firstLine="630"/>
        <w:rPr>
          <w:rFonts w:hint="eastAsia" w:ascii="仿宋_GB2312" w:hAnsi="黑体" w:eastAsia="仿宋_GB2312" w:cs="Times New Roman"/>
          <w:sz w:val="32"/>
          <w:szCs w:val="32"/>
        </w:rPr>
      </w:pPr>
      <w:r>
        <w:rPr>
          <w:rFonts w:hint="eastAsia" w:ascii="仿宋_GB2312" w:eastAsia="仿宋_GB2312" w:cs="Times New Roman"/>
          <w:sz w:val="32"/>
          <w:szCs w:val="32"/>
        </w:rPr>
        <w:t>3.要根据疫情防控各阶段任务，细化分工，责任到人，正确履职，确保疫情防控期间全区安全生产形势平稳。</w:t>
      </w:r>
    </w:p>
    <w:p>
      <w:pPr>
        <w:spacing w:line="560" w:lineRule="exact"/>
        <w:ind w:firstLine="630"/>
        <w:rPr>
          <w:rFonts w:hint="eastAsia" w:ascii="仿宋_GB2312" w:eastAsia="仿宋_GB2312" w:cs="Times New Roman"/>
          <w:sz w:val="32"/>
          <w:szCs w:val="32"/>
        </w:rPr>
      </w:pPr>
    </w:p>
    <w:p>
      <w:pPr>
        <w:spacing w:line="560" w:lineRule="exact"/>
        <w:ind w:left="1904" w:leftChars="297" w:hanging="1280" w:hangingChars="400"/>
        <w:rPr>
          <w:rFonts w:hint="eastAsia" w:ascii="仿宋_GB2312" w:eastAsia="仿宋_GB2312" w:cs="Times New Roman"/>
          <w:sz w:val="32"/>
          <w:szCs w:val="32"/>
        </w:rPr>
      </w:pPr>
      <w:r>
        <w:rPr>
          <w:rFonts w:hint="eastAsia" w:ascii="仿宋_GB2312" w:eastAsia="仿宋_GB2312" w:cs="Times New Roman"/>
          <w:sz w:val="32"/>
          <w:szCs w:val="32"/>
        </w:rPr>
        <w:t>附件：1.区应急管理局疫情防控期间安全生产防控措施日报表；</w:t>
      </w:r>
    </w:p>
    <w:p>
      <w:pPr>
        <w:spacing w:line="560" w:lineRule="exact"/>
        <w:ind w:left="1901" w:leftChars="753" w:hanging="320" w:hangingChars="100"/>
        <w:rPr>
          <w:rFonts w:ascii="仿宋_GB2312" w:eastAsia="仿宋_GB2312"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851" w:gutter="0"/>
          <w:pgNumType w:fmt="numberInDash"/>
          <w:cols w:space="720" w:num="1"/>
          <w:docGrid w:type="lines" w:linePitch="312" w:charSpace="0"/>
        </w:sectPr>
      </w:pPr>
      <w:r>
        <w:rPr>
          <w:rFonts w:hint="eastAsia" w:ascii="仿宋_GB2312" w:eastAsia="仿宋_GB2312" w:cs="Times New Roman"/>
          <w:sz w:val="32"/>
          <w:szCs w:val="32"/>
        </w:rPr>
        <w:t>2.区应急管理局疫情防控期间对企业防控工作信息日报表。</w:t>
      </w:r>
    </w:p>
    <w:p>
      <w:pPr>
        <w:adjustRightInd w:val="0"/>
        <w:snapToGrid w:val="0"/>
        <w:spacing w:line="360" w:lineRule="atLeast"/>
        <w:ind w:firstLine="198" w:firstLineChars="62"/>
        <w:jc w:val="left"/>
        <w:rPr>
          <w:rFonts w:hint="eastAsia" w:ascii="黑体" w:eastAsia="黑体" w:cs="Times New Roman"/>
          <w:color w:val="000000"/>
          <w:sz w:val="32"/>
          <w:szCs w:val="32"/>
        </w:rPr>
      </w:pPr>
      <w:r>
        <w:rPr>
          <w:rFonts w:hint="eastAsia" w:ascii="黑体" w:eastAsia="黑体" w:cs="Times New Roman"/>
          <w:color w:val="000000"/>
          <w:sz w:val="32"/>
          <w:szCs w:val="32"/>
        </w:rPr>
        <w:t xml:space="preserve">附件1  </w:t>
      </w:r>
    </w:p>
    <w:p>
      <w:pPr>
        <w:adjustRightInd w:val="0"/>
        <w:snapToGrid w:val="0"/>
        <w:spacing w:line="360" w:lineRule="atLeast"/>
        <w:ind w:firstLine="198" w:firstLineChars="62"/>
        <w:jc w:val="left"/>
        <w:rPr>
          <w:rFonts w:hint="eastAsia" w:ascii="黑体" w:eastAsia="黑体" w:cs="Times New Roman"/>
          <w:color w:val="000000"/>
          <w:sz w:val="32"/>
          <w:szCs w:val="32"/>
        </w:rPr>
      </w:pPr>
    </w:p>
    <w:p>
      <w:pPr>
        <w:adjustRightInd w:val="0"/>
        <w:snapToGrid w:val="0"/>
        <w:spacing w:line="360" w:lineRule="atLeast"/>
        <w:ind w:firstLine="248" w:firstLineChars="62"/>
        <w:jc w:val="center"/>
        <w:rPr>
          <w:rFonts w:hint="eastAsia" w:ascii="方正小标宋简体" w:eastAsia="方正小标宋简体" w:cs="Times New Roman"/>
          <w:color w:val="000000"/>
          <w:sz w:val="32"/>
          <w:szCs w:val="32"/>
        </w:rPr>
      </w:pPr>
      <w:r>
        <w:rPr>
          <w:rFonts w:hint="eastAsia" w:ascii="方正小标宋简体" w:eastAsia="方正小标宋简体" w:cs="Times New Roman"/>
          <w:color w:val="000000"/>
          <w:sz w:val="40"/>
          <w:szCs w:val="22"/>
        </w:rPr>
        <w:t>区应急管理局疫情防控期间安全生产防控措施日报表</w:t>
      </w:r>
    </w:p>
    <w:p>
      <w:pPr>
        <w:spacing w:line="480" w:lineRule="atLeast"/>
        <w:ind w:firstLine="560" w:firstLineChars="200"/>
        <w:jc w:val="left"/>
        <w:rPr>
          <w:rFonts w:ascii="Calibri" w:hAnsi="Calibri" w:eastAsia="仿宋_GB2312" w:cs="Times New Roman"/>
          <w:color w:val="000000"/>
          <w:sz w:val="32"/>
          <w:szCs w:val="32"/>
        </w:rPr>
      </w:pPr>
      <w:r>
        <w:rPr>
          <w:rFonts w:hint="eastAsia" w:ascii="仿宋_GB2312" w:eastAsia="仿宋_GB2312" w:cs="Times New Roman"/>
          <w:color w:val="000000"/>
          <w:sz w:val="28"/>
          <w:szCs w:val="32"/>
        </w:rPr>
        <w:t>报告日期：2020年</w:t>
      </w:r>
      <w:r>
        <w:rPr>
          <w:rFonts w:ascii="Calibri" w:hAnsi="Calibri" w:eastAsia="仿宋_GB2312" w:cs="Times New Roman"/>
          <w:color w:val="000000"/>
          <w:sz w:val="28"/>
          <w:szCs w:val="32"/>
        </w:rPr>
        <w:t>___</w:t>
      </w:r>
      <w:r>
        <w:rPr>
          <w:rFonts w:hint="eastAsia" w:ascii="仿宋_GB2312" w:eastAsia="仿宋_GB2312" w:cs="Times New Roman"/>
          <w:color w:val="000000"/>
          <w:sz w:val="28"/>
          <w:szCs w:val="32"/>
        </w:rPr>
        <w:t>月</w:t>
      </w:r>
      <w:r>
        <w:rPr>
          <w:rFonts w:ascii="Calibri" w:hAnsi="Calibri" w:eastAsia="仿宋_GB2312" w:cs="Times New Roman"/>
          <w:color w:val="000000"/>
          <w:sz w:val="28"/>
          <w:szCs w:val="32"/>
        </w:rPr>
        <w:t>___</w:t>
      </w:r>
      <w:r>
        <w:rPr>
          <w:rFonts w:hint="eastAsia" w:ascii="仿宋_GB2312" w:eastAsia="仿宋_GB2312" w:cs="Times New Roman"/>
          <w:color w:val="000000"/>
          <w:sz w:val="28"/>
          <w:szCs w:val="32"/>
        </w:rPr>
        <w:t xml:space="preserve">日 </w:t>
      </w:r>
      <w:r>
        <w:rPr>
          <w:rFonts w:hint="eastAsia" w:ascii="仿宋_GB2312" w:eastAsia="仿宋_GB2312" w:cs="Times New Roman"/>
          <w:color w:val="000000"/>
          <w:sz w:val="32"/>
          <w:szCs w:val="32"/>
        </w:rPr>
        <w:t xml:space="preserve">                      </w:t>
      </w:r>
      <w:r>
        <w:rPr>
          <w:rFonts w:hint="eastAsia" w:ascii="仿宋_GB2312" w:eastAsia="仿宋_GB2312" w:cs="Times New Roman"/>
          <w:color w:val="000000"/>
          <w:sz w:val="28"/>
          <w:szCs w:val="32"/>
        </w:rPr>
        <w:t>填报科室、大队:</w:t>
      </w:r>
      <w:r>
        <w:rPr>
          <w:rFonts w:ascii="Calibri" w:hAnsi="Calibri" w:eastAsia="仿宋_GB2312" w:cs="Times New Roman"/>
          <w:color w:val="000000"/>
          <w:sz w:val="28"/>
          <w:szCs w:val="32"/>
        </w:rPr>
        <w:t xml:space="preserve"> __________________</w:t>
      </w:r>
      <w:r>
        <w:rPr>
          <w:rFonts w:hint="eastAsia" w:ascii="仿宋_GB2312" w:eastAsia="仿宋_GB2312" w:cs="Times New Roman"/>
          <w:color w:val="000000"/>
          <w:sz w:val="32"/>
          <w:szCs w:val="32"/>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4"/>
        <w:gridCol w:w="3920"/>
        <w:gridCol w:w="2594"/>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3244" w:type="dxa"/>
            <w:tcBorders>
              <w:left w:val="single" w:color="auto" w:sz="4" w:space="0"/>
              <w:bottom w:val="single" w:color="auto" w:sz="4" w:space="0"/>
            </w:tcBorders>
            <w:noWrap w:val="0"/>
            <w:vAlign w:val="center"/>
          </w:tcPr>
          <w:p>
            <w:pPr>
              <w:ind w:firstLine="64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防控措施名称</w:t>
            </w:r>
          </w:p>
        </w:tc>
        <w:tc>
          <w:tcPr>
            <w:tcW w:w="3920" w:type="dxa"/>
            <w:tcBorders>
              <w:bottom w:val="single" w:color="auto" w:sz="4" w:space="0"/>
            </w:tcBorders>
            <w:noWrap w:val="0"/>
            <w:vAlign w:val="center"/>
          </w:tcPr>
          <w:p>
            <w:pPr>
              <w:ind w:firstLine="1280" w:firstLineChars="4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发布日期</w:t>
            </w:r>
          </w:p>
        </w:tc>
        <w:tc>
          <w:tcPr>
            <w:tcW w:w="2594" w:type="dxa"/>
            <w:tcBorders>
              <w:bottom w:val="single" w:color="auto" w:sz="4" w:space="0"/>
            </w:tcBorders>
            <w:noWrap w:val="0"/>
            <w:vAlign w:val="center"/>
          </w:tcPr>
          <w:p>
            <w:pPr>
              <w:ind w:firstLine="64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发布单位</w:t>
            </w:r>
          </w:p>
        </w:tc>
        <w:tc>
          <w:tcPr>
            <w:tcW w:w="2966" w:type="dxa"/>
            <w:tcBorders>
              <w:bottom w:val="single" w:color="auto" w:sz="4" w:space="0"/>
            </w:tcBorders>
            <w:noWrap w:val="0"/>
            <w:vAlign w:val="center"/>
          </w:tcPr>
          <w:p>
            <w:pPr>
              <w:ind w:firstLine="64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tcBorders>
              <w:top w:val="single" w:color="auto" w:sz="4" w:space="0"/>
              <w:left w:val="single" w:color="auto" w:sz="4" w:space="0"/>
              <w:bottom w:val="single" w:color="auto" w:sz="4" w:space="0"/>
              <w:right w:val="single" w:color="auto" w:sz="4" w:space="0"/>
            </w:tcBorders>
            <w:noWrap w:val="0"/>
            <w:vAlign w:val="top"/>
          </w:tcPr>
          <w:p>
            <w:pPr>
              <w:ind w:firstLine="640"/>
              <w:jc w:val="left"/>
              <w:rPr>
                <w:rFonts w:hint="eastAsia" w:ascii="仿宋_GB2312" w:eastAsia="仿宋_GB2312" w:cs="Times New Roman"/>
                <w:color w:val="000000"/>
                <w:sz w:val="32"/>
                <w:szCs w:val="32"/>
              </w:rPr>
            </w:pPr>
          </w:p>
        </w:tc>
        <w:tc>
          <w:tcPr>
            <w:tcW w:w="3920" w:type="dxa"/>
            <w:tcBorders>
              <w:top w:val="single" w:color="auto" w:sz="4" w:space="0"/>
              <w:left w:val="single" w:color="auto" w:sz="4" w:space="0"/>
              <w:bottom w:val="single" w:color="auto" w:sz="4" w:space="0"/>
            </w:tcBorders>
            <w:noWrap w:val="0"/>
            <w:vAlign w:val="top"/>
          </w:tcPr>
          <w:p>
            <w:pPr>
              <w:ind w:firstLine="640"/>
              <w:jc w:val="left"/>
              <w:rPr>
                <w:rFonts w:hint="eastAsia" w:ascii="仿宋_GB2312" w:eastAsia="仿宋_GB2312" w:cs="Times New Roman"/>
                <w:color w:val="000000"/>
                <w:sz w:val="32"/>
                <w:szCs w:val="32"/>
              </w:rPr>
            </w:pPr>
          </w:p>
        </w:tc>
        <w:tc>
          <w:tcPr>
            <w:tcW w:w="2594" w:type="dxa"/>
            <w:tcBorders>
              <w:top w:val="single" w:color="auto" w:sz="4" w:space="0"/>
            </w:tcBorders>
            <w:noWrap w:val="0"/>
            <w:vAlign w:val="top"/>
          </w:tcPr>
          <w:p>
            <w:pPr>
              <w:ind w:firstLine="640"/>
              <w:jc w:val="left"/>
              <w:rPr>
                <w:rFonts w:hint="eastAsia" w:ascii="仿宋_GB2312" w:eastAsia="仿宋_GB2312" w:cs="Times New Roman"/>
                <w:color w:val="000000"/>
                <w:sz w:val="32"/>
                <w:szCs w:val="32"/>
              </w:rPr>
            </w:pPr>
          </w:p>
        </w:tc>
        <w:tc>
          <w:tcPr>
            <w:tcW w:w="2966" w:type="dxa"/>
            <w:tcBorders>
              <w:top w:val="single" w:color="auto" w:sz="4" w:space="0"/>
            </w:tcBorders>
            <w:noWrap w:val="0"/>
            <w:vAlign w:val="top"/>
          </w:tcPr>
          <w:p>
            <w:pPr>
              <w:ind w:firstLine="640"/>
              <w:jc w:val="left"/>
              <w:rPr>
                <w:rFonts w:hint="eastAsia" w:ascii="仿宋_GB2312"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tcBorders>
              <w:top w:val="single" w:color="auto" w:sz="4" w:space="0"/>
              <w:left w:val="single" w:color="auto" w:sz="4" w:space="0"/>
              <w:bottom w:val="single" w:color="auto" w:sz="4" w:space="0"/>
              <w:right w:val="single" w:color="auto" w:sz="4" w:space="0"/>
            </w:tcBorders>
            <w:noWrap w:val="0"/>
            <w:vAlign w:val="top"/>
          </w:tcPr>
          <w:p>
            <w:pPr>
              <w:ind w:firstLine="640"/>
              <w:jc w:val="left"/>
              <w:rPr>
                <w:rFonts w:hint="eastAsia" w:ascii="仿宋_GB2312" w:eastAsia="仿宋_GB2312" w:cs="Times New Roman"/>
                <w:color w:val="000000"/>
                <w:sz w:val="32"/>
                <w:szCs w:val="32"/>
              </w:rPr>
            </w:pPr>
          </w:p>
        </w:tc>
        <w:tc>
          <w:tcPr>
            <w:tcW w:w="3920" w:type="dxa"/>
            <w:tcBorders>
              <w:top w:val="single" w:color="auto" w:sz="4" w:space="0"/>
              <w:left w:val="single" w:color="auto" w:sz="4" w:space="0"/>
              <w:bottom w:val="single" w:color="auto" w:sz="4" w:space="0"/>
            </w:tcBorders>
            <w:noWrap w:val="0"/>
            <w:vAlign w:val="top"/>
          </w:tcPr>
          <w:p>
            <w:pPr>
              <w:ind w:firstLine="640"/>
              <w:jc w:val="left"/>
              <w:rPr>
                <w:rFonts w:hint="eastAsia" w:ascii="仿宋_GB2312" w:eastAsia="仿宋_GB2312" w:cs="Times New Roman"/>
                <w:color w:val="000000"/>
                <w:sz w:val="32"/>
                <w:szCs w:val="32"/>
              </w:rPr>
            </w:pPr>
          </w:p>
        </w:tc>
        <w:tc>
          <w:tcPr>
            <w:tcW w:w="2594" w:type="dxa"/>
            <w:noWrap w:val="0"/>
            <w:vAlign w:val="top"/>
          </w:tcPr>
          <w:p>
            <w:pPr>
              <w:ind w:firstLine="640"/>
              <w:jc w:val="left"/>
              <w:rPr>
                <w:rFonts w:hint="eastAsia" w:ascii="仿宋_GB2312" w:eastAsia="仿宋_GB2312" w:cs="Times New Roman"/>
                <w:color w:val="000000"/>
                <w:sz w:val="32"/>
                <w:szCs w:val="32"/>
              </w:rPr>
            </w:pPr>
          </w:p>
        </w:tc>
        <w:tc>
          <w:tcPr>
            <w:tcW w:w="2966" w:type="dxa"/>
            <w:noWrap w:val="0"/>
            <w:vAlign w:val="top"/>
          </w:tcPr>
          <w:p>
            <w:pPr>
              <w:ind w:firstLine="640"/>
              <w:jc w:val="left"/>
              <w:rPr>
                <w:rFonts w:hint="eastAsia" w:ascii="仿宋_GB2312"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tcBorders>
              <w:top w:val="single" w:color="auto" w:sz="4" w:space="0"/>
              <w:left w:val="single" w:color="auto" w:sz="4" w:space="0"/>
              <w:right w:val="single" w:color="auto" w:sz="4" w:space="0"/>
            </w:tcBorders>
            <w:noWrap w:val="0"/>
            <w:vAlign w:val="top"/>
          </w:tcPr>
          <w:p>
            <w:pPr>
              <w:ind w:firstLine="640"/>
              <w:jc w:val="left"/>
              <w:rPr>
                <w:rFonts w:hint="eastAsia" w:ascii="仿宋_GB2312" w:eastAsia="仿宋_GB2312" w:cs="Times New Roman"/>
                <w:color w:val="000000"/>
                <w:sz w:val="32"/>
                <w:szCs w:val="32"/>
              </w:rPr>
            </w:pPr>
          </w:p>
        </w:tc>
        <w:tc>
          <w:tcPr>
            <w:tcW w:w="3920" w:type="dxa"/>
            <w:tcBorders>
              <w:top w:val="single" w:color="auto" w:sz="4" w:space="0"/>
              <w:left w:val="single" w:color="auto" w:sz="4" w:space="0"/>
              <w:right w:val="single" w:color="auto" w:sz="4" w:space="0"/>
            </w:tcBorders>
            <w:noWrap w:val="0"/>
            <w:vAlign w:val="top"/>
          </w:tcPr>
          <w:p>
            <w:pPr>
              <w:ind w:firstLine="640"/>
              <w:jc w:val="left"/>
              <w:rPr>
                <w:rFonts w:hint="eastAsia" w:ascii="仿宋_GB2312" w:eastAsia="仿宋_GB2312" w:cs="Times New Roman"/>
                <w:color w:val="000000"/>
                <w:sz w:val="32"/>
                <w:szCs w:val="32"/>
              </w:rPr>
            </w:pPr>
          </w:p>
        </w:tc>
        <w:tc>
          <w:tcPr>
            <w:tcW w:w="2594" w:type="dxa"/>
            <w:tcBorders>
              <w:left w:val="single" w:color="auto" w:sz="4" w:space="0"/>
              <w:right w:val="single" w:color="auto" w:sz="4" w:space="0"/>
            </w:tcBorders>
            <w:noWrap w:val="0"/>
            <w:vAlign w:val="top"/>
          </w:tcPr>
          <w:p>
            <w:pPr>
              <w:ind w:firstLine="640"/>
              <w:jc w:val="left"/>
              <w:rPr>
                <w:rFonts w:hint="eastAsia" w:ascii="仿宋_GB2312" w:eastAsia="仿宋_GB2312" w:cs="Times New Roman"/>
                <w:color w:val="000000"/>
                <w:sz w:val="32"/>
                <w:szCs w:val="32"/>
              </w:rPr>
            </w:pPr>
          </w:p>
        </w:tc>
        <w:tc>
          <w:tcPr>
            <w:tcW w:w="2966" w:type="dxa"/>
            <w:tcBorders>
              <w:left w:val="single" w:color="auto" w:sz="4" w:space="0"/>
              <w:bottom w:val="single" w:color="auto" w:sz="4" w:space="0"/>
              <w:right w:val="single" w:color="auto" w:sz="4" w:space="0"/>
            </w:tcBorders>
            <w:noWrap w:val="0"/>
            <w:vAlign w:val="top"/>
          </w:tcPr>
          <w:p>
            <w:pPr>
              <w:ind w:firstLine="640"/>
              <w:jc w:val="left"/>
              <w:rPr>
                <w:rFonts w:hint="eastAsia" w:ascii="仿宋_GB2312"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noWrap w:val="0"/>
            <w:vAlign w:val="top"/>
          </w:tcPr>
          <w:p>
            <w:pPr>
              <w:ind w:firstLine="640"/>
              <w:jc w:val="left"/>
              <w:rPr>
                <w:rFonts w:hint="eastAsia" w:ascii="仿宋_GB2312" w:eastAsia="仿宋_GB2312" w:cs="Times New Roman"/>
                <w:color w:val="000000"/>
                <w:sz w:val="32"/>
                <w:szCs w:val="32"/>
              </w:rPr>
            </w:pPr>
          </w:p>
        </w:tc>
        <w:tc>
          <w:tcPr>
            <w:tcW w:w="3920" w:type="dxa"/>
            <w:noWrap w:val="0"/>
            <w:vAlign w:val="top"/>
          </w:tcPr>
          <w:p>
            <w:pPr>
              <w:ind w:firstLine="640"/>
              <w:jc w:val="left"/>
              <w:rPr>
                <w:rFonts w:hint="eastAsia" w:ascii="仿宋_GB2312" w:eastAsia="仿宋_GB2312" w:cs="Times New Roman"/>
                <w:color w:val="000000"/>
                <w:sz w:val="32"/>
                <w:szCs w:val="32"/>
              </w:rPr>
            </w:pPr>
          </w:p>
        </w:tc>
        <w:tc>
          <w:tcPr>
            <w:tcW w:w="2594" w:type="dxa"/>
            <w:noWrap w:val="0"/>
            <w:vAlign w:val="top"/>
          </w:tcPr>
          <w:p>
            <w:pPr>
              <w:ind w:firstLine="640"/>
              <w:jc w:val="left"/>
              <w:rPr>
                <w:rFonts w:hint="eastAsia" w:ascii="仿宋_GB2312" w:eastAsia="仿宋_GB2312" w:cs="Times New Roman"/>
                <w:color w:val="000000"/>
                <w:sz w:val="32"/>
                <w:szCs w:val="32"/>
              </w:rPr>
            </w:pPr>
          </w:p>
        </w:tc>
        <w:tc>
          <w:tcPr>
            <w:tcW w:w="2966" w:type="dxa"/>
            <w:noWrap w:val="0"/>
            <w:vAlign w:val="top"/>
          </w:tcPr>
          <w:p>
            <w:pPr>
              <w:ind w:firstLine="640"/>
              <w:jc w:val="left"/>
              <w:rPr>
                <w:rFonts w:hint="eastAsia" w:ascii="仿宋_GB2312"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noWrap w:val="0"/>
            <w:vAlign w:val="top"/>
          </w:tcPr>
          <w:p>
            <w:pPr>
              <w:ind w:firstLine="640"/>
              <w:jc w:val="left"/>
              <w:rPr>
                <w:rFonts w:hint="eastAsia" w:ascii="仿宋_GB2312" w:eastAsia="仿宋_GB2312" w:cs="Times New Roman"/>
                <w:color w:val="000000"/>
                <w:sz w:val="32"/>
                <w:szCs w:val="32"/>
              </w:rPr>
            </w:pPr>
          </w:p>
        </w:tc>
        <w:tc>
          <w:tcPr>
            <w:tcW w:w="3920" w:type="dxa"/>
            <w:noWrap w:val="0"/>
            <w:vAlign w:val="top"/>
          </w:tcPr>
          <w:p>
            <w:pPr>
              <w:ind w:firstLine="640"/>
              <w:jc w:val="left"/>
              <w:rPr>
                <w:rFonts w:hint="eastAsia" w:ascii="仿宋_GB2312" w:eastAsia="仿宋_GB2312" w:cs="Times New Roman"/>
                <w:color w:val="000000"/>
                <w:sz w:val="32"/>
                <w:szCs w:val="32"/>
              </w:rPr>
            </w:pPr>
          </w:p>
        </w:tc>
        <w:tc>
          <w:tcPr>
            <w:tcW w:w="2594" w:type="dxa"/>
            <w:noWrap w:val="0"/>
            <w:vAlign w:val="top"/>
          </w:tcPr>
          <w:p>
            <w:pPr>
              <w:ind w:firstLine="640"/>
              <w:jc w:val="left"/>
              <w:rPr>
                <w:rFonts w:hint="eastAsia" w:ascii="仿宋_GB2312" w:eastAsia="仿宋_GB2312" w:cs="Times New Roman"/>
                <w:color w:val="000000"/>
                <w:sz w:val="32"/>
                <w:szCs w:val="32"/>
              </w:rPr>
            </w:pPr>
          </w:p>
        </w:tc>
        <w:tc>
          <w:tcPr>
            <w:tcW w:w="2966" w:type="dxa"/>
            <w:noWrap w:val="0"/>
            <w:vAlign w:val="top"/>
          </w:tcPr>
          <w:p>
            <w:pPr>
              <w:ind w:firstLine="640"/>
              <w:jc w:val="left"/>
              <w:rPr>
                <w:rFonts w:hint="eastAsia" w:ascii="仿宋_GB2312"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noWrap w:val="0"/>
            <w:vAlign w:val="top"/>
          </w:tcPr>
          <w:p>
            <w:pPr>
              <w:ind w:firstLine="640"/>
              <w:jc w:val="left"/>
              <w:rPr>
                <w:rFonts w:hint="eastAsia" w:ascii="仿宋_GB2312" w:eastAsia="仿宋_GB2312" w:cs="Times New Roman"/>
                <w:color w:val="000000"/>
                <w:sz w:val="32"/>
                <w:szCs w:val="32"/>
              </w:rPr>
            </w:pPr>
          </w:p>
        </w:tc>
        <w:tc>
          <w:tcPr>
            <w:tcW w:w="3920" w:type="dxa"/>
            <w:noWrap w:val="0"/>
            <w:vAlign w:val="top"/>
          </w:tcPr>
          <w:p>
            <w:pPr>
              <w:ind w:firstLine="640"/>
              <w:jc w:val="left"/>
              <w:rPr>
                <w:rFonts w:hint="eastAsia" w:ascii="仿宋_GB2312" w:eastAsia="仿宋_GB2312" w:cs="Times New Roman"/>
                <w:color w:val="000000"/>
                <w:sz w:val="32"/>
                <w:szCs w:val="32"/>
              </w:rPr>
            </w:pPr>
          </w:p>
        </w:tc>
        <w:tc>
          <w:tcPr>
            <w:tcW w:w="2594" w:type="dxa"/>
            <w:noWrap w:val="0"/>
            <w:vAlign w:val="top"/>
          </w:tcPr>
          <w:p>
            <w:pPr>
              <w:ind w:firstLine="640"/>
              <w:jc w:val="left"/>
              <w:rPr>
                <w:rFonts w:hint="eastAsia" w:ascii="仿宋_GB2312" w:eastAsia="仿宋_GB2312" w:cs="Times New Roman"/>
                <w:color w:val="000000"/>
                <w:sz w:val="32"/>
                <w:szCs w:val="32"/>
              </w:rPr>
            </w:pPr>
          </w:p>
        </w:tc>
        <w:tc>
          <w:tcPr>
            <w:tcW w:w="2966" w:type="dxa"/>
            <w:noWrap w:val="0"/>
            <w:vAlign w:val="top"/>
          </w:tcPr>
          <w:p>
            <w:pPr>
              <w:ind w:firstLine="640"/>
              <w:jc w:val="left"/>
              <w:rPr>
                <w:rFonts w:hint="eastAsia" w:ascii="仿宋_GB2312"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244" w:type="dxa"/>
            <w:noWrap w:val="0"/>
            <w:vAlign w:val="center"/>
          </w:tcPr>
          <w:p>
            <w:pPr>
              <w:adjustRightInd w:val="0"/>
              <w:snapToGrid w:val="0"/>
              <w:jc w:val="center"/>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存在的问题和困难</w:t>
            </w:r>
          </w:p>
        </w:tc>
        <w:tc>
          <w:tcPr>
            <w:tcW w:w="9480" w:type="dxa"/>
            <w:gridSpan w:val="3"/>
            <w:noWrap w:val="0"/>
            <w:vAlign w:val="top"/>
          </w:tcPr>
          <w:p>
            <w:pPr>
              <w:ind w:firstLine="640"/>
              <w:jc w:val="left"/>
              <w:rPr>
                <w:rFonts w:hint="eastAsia" w:ascii="仿宋_GB2312" w:eastAsia="仿宋_GB2312" w:cs="Times New Roman"/>
                <w:color w:val="000000"/>
                <w:sz w:val="32"/>
                <w:szCs w:val="32"/>
              </w:rPr>
            </w:pPr>
          </w:p>
        </w:tc>
      </w:tr>
    </w:tbl>
    <w:p>
      <w:pPr>
        <w:adjustRightInd w:val="0"/>
        <w:snapToGrid w:val="0"/>
        <w:spacing w:line="620" w:lineRule="exact"/>
        <w:ind w:firstLine="198" w:firstLineChars="62"/>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备注：1.填报内容为前一日12:00至当日10:00之间对企业防控的主要工作措施和成效，没有情况须“零报告”。每日10:00前，将电子版报基础科周焱处。</w:t>
      </w:r>
    </w:p>
    <w:p>
      <w:pPr>
        <w:adjustRightInd w:val="0"/>
        <w:snapToGrid w:val="0"/>
        <w:spacing w:line="620" w:lineRule="exact"/>
        <w:ind w:firstLine="198" w:firstLineChars="62"/>
        <w:rPr>
          <w:rFonts w:hint="eastAsia" w:ascii="Times New Roman" w:eastAsia="仿宋_GB2312" w:cs="Times New Roman"/>
          <w:color w:val="000000"/>
          <w:sz w:val="32"/>
          <w:szCs w:val="32"/>
        </w:rPr>
      </w:pPr>
    </w:p>
    <w:p>
      <w:pPr>
        <w:spacing w:line="480" w:lineRule="atLeast"/>
        <w:ind w:firstLine="320" w:firstLineChars="100"/>
        <w:jc w:val="left"/>
        <w:rPr>
          <w:rFonts w:hint="eastAsia" w:ascii="黑体" w:eastAsia="黑体" w:cs="Times New Roman"/>
          <w:color w:val="000000"/>
          <w:sz w:val="32"/>
          <w:szCs w:val="32"/>
        </w:rPr>
      </w:pPr>
    </w:p>
    <w:p>
      <w:pPr>
        <w:spacing w:line="480" w:lineRule="atLeast"/>
        <w:ind w:firstLine="320" w:firstLineChars="100"/>
        <w:jc w:val="left"/>
        <w:rPr>
          <w:rFonts w:hint="eastAsia" w:ascii="黑体" w:eastAsia="黑体" w:cs="Times New Roman"/>
          <w:color w:val="000000"/>
          <w:sz w:val="32"/>
          <w:szCs w:val="32"/>
        </w:rPr>
      </w:pPr>
      <w:r>
        <w:rPr>
          <w:rFonts w:hint="eastAsia" w:ascii="黑体" w:eastAsia="黑体" w:cs="Times New Roman"/>
          <w:color w:val="000000"/>
          <w:sz w:val="32"/>
          <w:szCs w:val="32"/>
        </w:rPr>
        <w:t>附件2</w:t>
      </w:r>
    </w:p>
    <w:p>
      <w:pPr>
        <w:spacing w:line="480" w:lineRule="atLeast"/>
        <w:ind w:firstLine="803" w:firstLineChars="200"/>
        <w:jc w:val="left"/>
        <w:rPr>
          <w:rFonts w:ascii="Calibri" w:hAnsi="Calibri" w:eastAsia="宋体" w:cs="Times New Roman"/>
          <w:b/>
          <w:color w:val="000000"/>
          <w:sz w:val="40"/>
          <w:szCs w:val="22"/>
        </w:rPr>
      </w:pPr>
    </w:p>
    <w:p>
      <w:pPr>
        <w:spacing w:line="480" w:lineRule="atLeast"/>
        <w:ind w:firstLine="800" w:firstLineChars="200"/>
        <w:jc w:val="center"/>
        <w:rPr>
          <w:rFonts w:hint="eastAsia" w:ascii="方正小标宋简体" w:eastAsia="方正小标宋简体" w:cs="Times New Roman"/>
          <w:color w:val="000000"/>
          <w:sz w:val="40"/>
          <w:szCs w:val="22"/>
        </w:rPr>
      </w:pPr>
      <w:r>
        <w:rPr>
          <w:rFonts w:hint="eastAsia" w:ascii="方正小标宋简体" w:eastAsia="方正小标宋简体" w:cs="Times New Roman"/>
          <w:color w:val="000000"/>
          <w:sz w:val="40"/>
          <w:szCs w:val="22"/>
        </w:rPr>
        <w:t>区应急管理局疫情防控期间对企业防控工作信息日报表</w:t>
      </w:r>
    </w:p>
    <w:p>
      <w:pPr>
        <w:spacing w:line="480" w:lineRule="atLeast"/>
        <w:ind w:firstLine="440" w:firstLineChars="200"/>
        <w:jc w:val="center"/>
        <w:rPr>
          <w:rFonts w:hint="eastAsia"/>
          <w:color w:val="000000"/>
          <w:sz w:val="22"/>
          <w:szCs w:val="22"/>
        </w:rPr>
      </w:pPr>
      <w:r>
        <w:rPr>
          <w:rFonts w:hint="eastAsia"/>
          <w:color w:val="000000"/>
          <w:sz w:val="22"/>
          <w:szCs w:val="22"/>
        </w:rPr>
        <w:t xml:space="preserve">                                                                            填报日期：2020年    月    日</w:t>
      </w:r>
    </w:p>
    <w:tbl>
      <w:tblPr>
        <w:tblStyle w:val="4"/>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3041"/>
        <w:gridCol w:w="2629"/>
        <w:gridCol w:w="1843"/>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rPr>
                <w:rFonts w:hint="eastAsia" w:ascii="宋体" w:eastAsia="宋体" w:cs="宋体"/>
                <w:color w:val="000000"/>
                <w:sz w:val="22"/>
                <w:szCs w:val="22"/>
              </w:rPr>
            </w:pPr>
            <w:r>
              <w:rPr>
                <w:rFonts w:hint="eastAsia"/>
                <w:color w:val="000000"/>
                <w:sz w:val="22"/>
                <w:szCs w:val="22"/>
              </w:rPr>
              <w:t>序号</w:t>
            </w:r>
          </w:p>
        </w:tc>
        <w:tc>
          <w:tcPr>
            <w:tcW w:w="1843" w:type="dxa"/>
            <w:noWrap w:val="0"/>
            <w:vAlign w:val="center"/>
          </w:tcPr>
          <w:p>
            <w:pPr>
              <w:ind w:firstLine="220" w:firstLineChars="100"/>
              <w:rPr>
                <w:rFonts w:hint="eastAsia" w:ascii="宋体" w:eastAsia="宋体" w:cs="宋体"/>
                <w:color w:val="000000"/>
                <w:sz w:val="22"/>
                <w:szCs w:val="22"/>
              </w:rPr>
            </w:pPr>
            <w:r>
              <w:rPr>
                <w:color w:val="000000"/>
                <w:sz w:val="22"/>
                <w:szCs w:val="22"/>
              </w:rPr>
              <w:t>科室、大队</w:t>
            </w:r>
          </w:p>
        </w:tc>
        <w:tc>
          <w:tcPr>
            <w:tcW w:w="3041" w:type="dxa"/>
            <w:noWrap w:val="0"/>
            <w:vAlign w:val="center"/>
          </w:tcPr>
          <w:p>
            <w:pPr>
              <w:rPr>
                <w:rFonts w:hint="eastAsia" w:ascii="宋体" w:eastAsia="宋体" w:cs="宋体"/>
                <w:color w:val="000000"/>
                <w:sz w:val="22"/>
                <w:szCs w:val="22"/>
              </w:rPr>
            </w:pPr>
            <w:r>
              <w:rPr>
                <w:rFonts w:hint="eastAsia"/>
                <w:color w:val="000000"/>
                <w:sz w:val="22"/>
                <w:szCs w:val="22"/>
              </w:rPr>
              <w:t>近期或当日在企业防控方面的疫情信息（包括重点数据、企业防控突发事件等）</w:t>
            </w:r>
          </w:p>
        </w:tc>
        <w:tc>
          <w:tcPr>
            <w:tcW w:w="2629" w:type="dxa"/>
            <w:noWrap w:val="0"/>
            <w:vAlign w:val="center"/>
          </w:tcPr>
          <w:p>
            <w:pPr>
              <w:rPr>
                <w:rFonts w:hint="eastAsia" w:ascii="宋体" w:eastAsia="宋体" w:cs="宋体"/>
                <w:color w:val="000000"/>
                <w:sz w:val="22"/>
                <w:szCs w:val="22"/>
              </w:rPr>
            </w:pPr>
            <w:r>
              <w:rPr>
                <w:rFonts w:hint="eastAsia"/>
                <w:color w:val="000000"/>
                <w:sz w:val="22"/>
                <w:szCs w:val="22"/>
              </w:rPr>
              <w:t>开展的主要工作、措施及成效</w:t>
            </w:r>
          </w:p>
        </w:tc>
        <w:tc>
          <w:tcPr>
            <w:tcW w:w="1843" w:type="dxa"/>
            <w:noWrap w:val="0"/>
            <w:vAlign w:val="center"/>
          </w:tcPr>
          <w:p>
            <w:pPr>
              <w:rPr>
                <w:rFonts w:hint="eastAsia" w:ascii="宋体" w:eastAsia="宋体" w:cs="宋体"/>
                <w:color w:val="000000"/>
                <w:sz w:val="22"/>
                <w:szCs w:val="22"/>
              </w:rPr>
            </w:pPr>
            <w:r>
              <w:rPr>
                <w:rFonts w:hint="eastAsia"/>
                <w:color w:val="000000"/>
                <w:sz w:val="22"/>
                <w:szCs w:val="22"/>
              </w:rPr>
              <w:t>问题及建议</w:t>
            </w:r>
          </w:p>
        </w:tc>
        <w:tc>
          <w:tcPr>
            <w:tcW w:w="1276" w:type="dxa"/>
            <w:noWrap w:val="0"/>
            <w:vAlign w:val="center"/>
          </w:tcPr>
          <w:p>
            <w:pPr>
              <w:rPr>
                <w:rFonts w:hint="eastAsia" w:ascii="宋体" w:eastAsia="宋体" w:cs="宋体"/>
                <w:color w:val="000000"/>
                <w:sz w:val="22"/>
                <w:szCs w:val="22"/>
              </w:rPr>
            </w:pPr>
            <w:r>
              <w:rPr>
                <w:rFonts w:hint="eastAsia"/>
                <w:color w:val="000000"/>
                <w:sz w:val="22"/>
                <w:szCs w:val="22"/>
              </w:rPr>
              <w:t>下一步工作安排</w:t>
            </w:r>
          </w:p>
        </w:tc>
        <w:tc>
          <w:tcPr>
            <w:tcW w:w="2126" w:type="dxa"/>
            <w:noWrap w:val="0"/>
            <w:vAlign w:val="center"/>
          </w:tcPr>
          <w:p>
            <w:pPr>
              <w:rPr>
                <w:rFonts w:hint="eastAsia" w:ascii="宋体" w:eastAsia="宋体" w:cs="宋体"/>
                <w:color w:val="000000"/>
                <w:sz w:val="22"/>
                <w:szCs w:val="22"/>
              </w:rPr>
            </w:pPr>
            <w:r>
              <w:rPr>
                <w:rFonts w:hint="eastAsia"/>
                <w:color w:val="000000"/>
                <w:sz w:val="22"/>
                <w:szCs w:val="22"/>
              </w:rPr>
              <w:t>所在条线值得关注的中央、省最新工作部署和国内外有关动态等情况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75" w:type="dxa"/>
            <w:noWrap w:val="0"/>
            <w:vAlign w:val="center"/>
          </w:tcPr>
          <w:p>
            <w:pPr>
              <w:spacing w:line="480" w:lineRule="atLeast"/>
              <w:rPr>
                <w:rFonts w:hint="eastAsia" w:ascii="Calibri" w:hAnsi="Calibri" w:eastAsia="仿宋_GB2312" w:cs="Times New Roman"/>
                <w:color w:val="000000"/>
                <w:sz w:val="32"/>
                <w:szCs w:val="32"/>
              </w:rPr>
            </w:pPr>
          </w:p>
        </w:tc>
        <w:tc>
          <w:tcPr>
            <w:tcW w:w="1843" w:type="dxa"/>
            <w:noWrap w:val="0"/>
            <w:vAlign w:val="center"/>
          </w:tcPr>
          <w:p>
            <w:pPr>
              <w:spacing w:line="480" w:lineRule="atLeast"/>
              <w:rPr>
                <w:rFonts w:hint="eastAsia" w:ascii="Calibri" w:hAnsi="Calibri" w:eastAsia="仿宋_GB2312" w:cs="Times New Roman"/>
                <w:color w:val="000000"/>
                <w:sz w:val="32"/>
                <w:szCs w:val="32"/>
              </w:rPr>
            </w:pPr>
          </w:p>
        </w:tc>
        <w:tc>
          <w:tcPr>
            <w:tcW w:w="3041" w:type="dxa"/>
            <w:noWrap w:val="0"/>
            <w:vAlign w:val="center"/>
          </w:tcPr>
          <w:p>
            <w:pPr>
              <w:spacing w:line="480" w:lineRule="atLeast"/>
              <w:rPr>
                <w:rFonts w:hint="eastAsia" w:ascii="Calibri" w:hAnsi="Calibri" w:eastAsia="仿宋_GB2312" w:cs="Times New Roman"/>
                <w:color w:val="000000"/>
                <w:sz w:val="32"/>
                <w:szCs w:val="32"/>
              </w:rPr>
            </w:pPr>
          </w:p>
        </w:tc>
        <w:tc>
          <w:tcPr>
            <w:tcW w:w="2629" w:type="dxa"/>
            <w:noWrap w:val="0"/>
            <w:vAlign w:val="center"/>
          </w:tcPr>
          <w:p>
            <w:pPr>
              <w:spacing w:line="480" w:lineRule="atLeast"/>
              <w:rPr>
                <w:rFonts w:hint="eastAsia" w:ascii="Calibri" w:hAnsi="Calibri" w:eastAsia="仿宋_GB2312" w:cs="Times New Roman"/>
                <w:color w:val="000000"/>
                <w:sz w:val="32"/>
                <w:szCs w:val="32"/>
              </w:rPr>
            </w:pPr>
          </w:p>
        </w:tc>
        <w:tc>
          <w:tcPr>
            <w:tcW w:w="1843" w:type="dxa"/>
            <w:noWrap w:val="0"/>
            <w:vAlign w:val="center"/>
          </w:tcPr>
          <w:p>
            <w:pPr>
              <w:spacing w:line="480" w:lineRule="atLeast"/>
              <w:rPr>
                <w:rFonts w:hint="eastAsia" w:ascii="Calibri" w:hAnsi="Calibri" w:eastAsia="仿宋_GB2312" w:cs="Times New Roman"/>
                <w:color w:val="000000"/>
                <w:sz w:val="32"/>
                <w:szCs w:val="32"/>
              </w:rPr>
            </w:pPr>
          </w:p>
        </w:tc>
        <w:tc>
          <w:tcPr>
            <w:tcW w:w="1276" w:type="dxa"/>
            <w:noWrap w:val="0"/>
            <w:vAlign w:val="center"/>
          </w:tcPr>
          <w:p>
            <w:pPr>
              <w:spacing w:line="480" w:lineRule="atLeast"/>
              <w:rPr>
                <w:rFonts w:hint="eastAsia" w:ascii="Calibri" w:hAnsi="Calibri" w:eastAsia="仿宋_GB2312" w:cs="Times New Roman"/>
                <w:color w:val="000000"/>
                <w:sz w:val="32"/>
                <w:szCs w:val="32"/>
              </w:rPr>
            </w:pPr>
          </w:p>
        </w:tc>
        <w:tc>
          <w:tcPr>
            <w:tcW w:w="2126" w:type="dxa"/>
            <w:noWrap w:val="0"/>
            <w:vAlign w:val="center"/>
          </w:tcPr>
          <w:p>
            <w:pPr>
              <w:spacing w:line="480" w:lineRule="atLeast"/>
              <w:rPr>
                <w:rFonts w:hint="eastAsia" w:ascii="Calibri" w:hAnsi="Calibri"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75" w:type="dxa"/>
            <w:noWrap w:val="0"/>
            <w:vAlign w:val="center"/>
          </w:tcPr>
          <w:p>
            <w:pPr>
              <w:spacing w:line="480" w:lineRule="atLeast"/>
              <w:rPr>
                <w:rFonts w:hint="eastAsia" w:ascii="Calibri" w:hAnsi="Calibri" w:eastAsia="仿宋_GB2312" w:cs="Times New Roman"/>
                <w:color w:val="000000"/>
                <w:sz w:val="32"/>
                <w:szCs w:val="32"/>
              </w:rPr>
            </w:pPr>
          </w:p>
        </w:tc>
        <w:tc>
          <w:tcPr>
            <w:tcW w:w="1843" w:type="dxa"/>
            <w:noWrap w:val="0"/>
            <w:vAlign w:val="center"/>
          </w:tcPr>
          <w:p>
            <w:pPr>
              <w:spacing w:line="480" w:lineRule="atLeast"/>
              <w:rPr>
                <w:rFonts w:hint="eastAsia" w:ascii="Calibri" w:hAnsi="Calibri" w:eastAsia="仿宋_GB2312" w:cs="Times New Roman"/>
                <w:color w:val="000000"/>
                <w:sz w:val="32"/>
                <w:szCs w:val="32"/>
              </w:rPr>
            </w:pPr>
          </w:p>
        </w:tc>
        <w:tc>
          <w:tcPr>
            <w:tcW w:w="3041" w:type="dxa"/>
            <w:noWrap w:val="0"/>
            <w:vAlign w:val="center"/>
          </w:tcPr>
          <w:p>
            <w:pPr>
              <w:spacing w:line="480" w:lineRule="atLeast"/>
              <w:rPr>
                <w:rFonts w:hint="eastAsia" w:ascii="Calibri" w:hAnsi="Calibri" w:eastAsia="仿宋_GB2312" w:cs="Times New Roman"/>
                <w:color w:val="000000"/>
                <w:sz w:val="32"/>
                <w:szCs w:val="32"/>
              </w:rPr>
            </w:pPr>
          </w:p>
        </w:tc>
        <w:tc>
          <w:tcPr>
            <w:tcW w:w="2629" w:type="dxa"/>
            <w:noWrap w:val="0"/>
            <w:vAlign w:val="center"/>
          </w:tcPr>
          <w:p>
            <w:pPr>
              <w:spacing w:line="480" w:lineRule="atLeast"/>
              <w:rPr>
                <w:rFonts w:hint="eastAsia" w:ascii="Calibri" w:hAnsi="Calibri" w:eastAsia="仿宋_GB2312" w:cs="Times New Roman"/>
                <w:color w:val="000000"/>
                <w:sz w:val="32"/>
                <w:szCs w:val="32"/>
              </w:rPr>
            </w:pPr>
          </w:p>
        </w:tc>
        <w:tc>
          <w:tcPr>
            <w:tcW w:w="1843" w:type="dxa"/>
            <w:noWrap w:val="0"/>
            <w:vAlign w:val="center"/>
          </w:tcPr>
          <w:p>
            <w:pPr>
              <w:spacing w:line="480" w:lineRule="atLeast"/>
              <w:rPr>
                <w:rFonts w:hint="eastAsia" w:ascii="Calibri" w:hAnsi="Calibri" w:eastAsia="仿宋_GB2312" w:cs="Times New Roman"/>
                <w:color w:val="000000"/>
                <w:sz w:val="32"/>
                <w:szCs w:val="32"/>
              </w:rPr>
            </w:pPr>
          </w:p>
        </w:tc>
        <w:tc>
          <w:tcPr>
            <w:tcW w:w="1276" w:type="dxa"/>
            <w:noWrap w:val="0"/>
            <w:vAlign w:val="center"/>
          </w:tcPr>
          <w:p>
            <w:pPr>
              <w:spacing w:line="480" w:lineRule="atLeast"/>
              <w:rPr>
                <w:rFonts w:hint="eastAsia" w:ascii="Calibri" w:hAnsi="Calibri" w:eastAsia="仿宋_GB2312" w:cs="Times New Roman"/>
                <w:color w:val="000000"/>
                <w:sz w:val="32"/>
                <w:szCs w:val="32"/>
              </w:rPr>
            </w:pPr>
          </w:p>
        </w:tc>
        <w:tc>
          <w:tcPr>
            <w:tcW w:w="2126" w:type="dxa"/>
            <w:noWrap w:val="0"/>
            <w:vAlign w:val="center"/>
          </w:tcPr>
          <w:p>
            <w:pPr>
              <w:spacing w:line="480" w:lineRule="atLeast"/>
              <w:rPr>
                <w:rFonts w:hint="eastAsia" w:ascii="Calibri" w:hAnsi="Calibri" w:eastAsia="仿宋_GB2312" w:cs="Times New Roman"/>
                <w:color w:val="000000"/>
                <w:sz w:val="32"/>
                <w:szCs w:val="32"/>
              </w:rPr>
            </w:pPr>
          </w:p>
        </w:tc>
      </w:tr>
    </w:tbl>
    <w:p>
      <w:pPr>
        <w:spacing w:line="480" w:lineRule="atLeast"/>
        <w:rPr>
          <w:rFonts w:hint="eastAsia" w:ascii="宋体" w:eastAsia="宋体" w:cs="Times New Roman"/>
          <w:color w:val="000000"/>
          <w:sz w:val="24"/>
          <w:szCs w:val="24"/>
        </w:rPr>
      </w:pPr>
      <w:r>
        <w:rPr>
          <w:rFonts w:hint="eastAsia" w:ascii="宋体" w:eastAsia="宋体" w:cs="Times New Roman"/>
          <w:color w:val="000000"/>
          <w:sz w:val="24"/>
          <w:szCs w:val="24"/>
        </w:rPr>
        <w:t>注：每日10:00前，将本表报送至局基础科，没有情况须“零报告”。（表格内容可以文字材料形式报送）</w:t>
      </w:r>
    </w:p>
    <w:p>
      <w:pPr>
        <w:adjustRightInd w:val="0"/>
        <w:snapToGrid w:val="0"/>
        <w:spacing w:line="560" w:lineRule="atLeast"/>
        <w:ind w:firstLine="480" w:firstLineChars="200"/>
        <w:rPr>
          <w:rFonts w:hint="eastAsia" w:ascii="宋体" w:eastAsia="宋体" w:cs="Times New Roman"/>
          <w:color w:val="000000"/>
          <w:sz w:val="24"/>
          <w:szCs w:val="24"/>
        </w:rPr>
      </w:pPr>
      <w:r>
        <w:rPr>
          <w:rFonts w:hint="eastAsia" w:ascii="宋体" w:eastAsia="宋体" w:cs="Times New Roman"/>
          <w:color w:val="000000"/>
          <w:sz w:val="24"/>
          <w:szCs w:val="24"/>
        </w:rPr>
        <w:t>联系人：周焱</w:t>
      </w:r>
    </w:p>
    <w:p>
      <w:r>
        <w:rPr>
          <w:rFonts w:hint="eastAsia"/>
        </w:rPr>
        <w:t xml:space="preserve"> </w:t>
      </w:r>
    </w:p>
    <w:p>
      <w:bookmarkStart w:id="0" w:name="_GoBack"/>
      <w:bookmarkEnd w:id="0"/>
    </w:p>
    <w:sectPr>
      <w:footerReference r:id="rId9" w:type="even"/>
      <w:pgSz w:w="16838" w:h="11906" w:orient="landscape"/>
      <w:pgMar w:top="1531" w:right="2098" w:bottom="1531" w:left="1985" w:header="709" w:footer="136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- 1 -</w:t>
    </w:r>
    <w:r>
      <w:rPr>
        <w:rStyle w:val="6"/>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hint="eastAsia" w:ascii="宋体" w:hAnsi="宋体"/>
        <w:sz w:val="28"/>
        <w:szCs w:val="28"/>
      </w:rPr>
      <w:t xml:space="preserve">—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eastAsia="zh-CN"/>
      </w:rPr>
      <w:t>2</w:t>
    </w:r>
    <w:r>
      <w:rPr>
        <w:rFonts w:ascii="Times New Roman"/>
        <w:sz w:val="28"/>
        <w:szCs w:val="28"/>
      </w:rPr>
      <w:fldChar w:fldCharType="end"/>
    </w:r>
    <w:r>
      <w:rPr>
        <w:rFonts w:hint="eastAsia" w:ascii="宋体" w:hAnsi="宋体"/>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E0A9E"/>
    <w:rsid w:val="1E1E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等线"/>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kern w:val="0"/>
      <w:sz w:val="18"/>
      <w:szCs w:val="18"/>
      <w:lang w:bidi="ar-SA"/>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kern w:val="0"/>
      <w:sz w:val="18"/>
      <w:szCs w:val="18"/>
      <w:lang w:bidi="ar-SA"/>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2020-02-06T06:06:00Z</dcterms:created>
  <dc:creator>Administrator</dc:creator>
  <cp:lastModifiedBy>Administrator</cp:lastModifiedBy>
  <dcterms:modified xsi:type="dcterms:W3CDTF">2020-02-06T06:07:55Z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