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1E0" w:rsidRDefault="00C061E0" w:rsidP="00C061E0">
      <w:pPr>
        <w:spacing w:line="560" w:lineRule="exact"/>
        <w:rPr>
          <w:rFonts w:ascii="黑体" w:eastAsia="黑体" w:hAnsi="黑体" w:cs="楷体_GB2312"/>
          <w:b/>
          <w:sz w:val="32"/>
          <w:szCs w:val="32"/>
        </w:rPr>
      </w:pPr>
      <w:r>
        <w:rPr>
          <w:rFonts w:ascii="黑体" w:eastAsia="黑体" w:hAnsi="黑体" w:hint="eastAsia"/>
          <w:b/>
          <w:kern w:val="0"/>
          <w:sz w:val="32"/>
          <w:szCs w:val="32"/>
        </w:rPr>
        <w:t>附件</w:t>
      </w:r>
      <w:r>
        <w:rPr>
          <w:rFonts w:ascii="黑体" w:eastAsia="黑体" w:hAnsi="黑体"/>
          <w:b/>
          <w:kern w:val="0"/>
          <w:sz w:val="32"/>
          <w:szCs w:val="32"/>
        </w:rPr>
        <w:t>2</w:t>
      </w:r>
      <w:r>
        <w:rPr>
          <w:rFonts w:ascii="黑体" w:eastAsia="黑体" w:hAnsi="黑体" w:hint="eastAsia"/>
          <w:b/>
          <w:kern w:val="0"/>
          <w:sz w:val="32"/>
          <w:szCs w:val="32"/>
        </w:rPr>
        <w:t>：</w:t>
      </w:r>
    </w:p>
    <w:p w:rsidR="00C061E0" w:rsidRDefault="00C061E0" w:rsidP="00C061E0">
      <w:pPr>
        <w:widowControl/>
        <w:jc w:val="center"/>
        <w:rPr>
          <w:rFonts w:ascii="方正小标宋简体" w:eastAsia="方正小标宋简体"/>
          <w:bCs/>
          <w:kern w:val="0"/>
          <w:sz w:val="36"/>
          <w:szCs w:val="36"/>
        </w:rPr>
      </w:pPr>
      <w:r>
        <w:rPr>
          <w:rFonts w:ascii="方正小标宋简体" w:eastAsia="方正小标宋简体" w:hint="eastAsia"/>
          <w:bCs/>
          <w:kern w:val="0"/>
          <w:sz w:val="36"/>
          <w:szCs w:val="36"/>
        </w:rPr>
        <w:t>中小学语言文字工作指导标准</w:t>
      </w:r>
    </w:p>
    <w:tbl>
      <w:tblPr>
        <w:tblW w:w="100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1288"/>
        <w:gridCol w:w="6083"/>
        <w:gridCol w:w="850"/>
        <w:gridCol w:w="567"/>
      </w:tblGrid>
      <w:tr w:rsidR="00C061E0" w:rsidTr="002E3070">
        <w:trPr>
          <w:trHeight w:val="23"/>
          <w:tblHeader/>
          <w:jc w:val="center"/>
        </w:trPr>
        <w:tc>
          <w:tcPr>
            <w:tcW w:w="1276"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一级</w:t>
            </w:r>
          </w:p>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指标</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二级</w:t>
            </w:r>
          </w:p>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指标</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考核要点</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分值</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黑体"/>
                <w:bCs/>
                <w:kern w:val="0"/>
                <w:sz w:val="28"/>
                <w:szCs w:val="28"/>
              </w:rPr>
            </w:pPr>
            <w:r>
              <w:rPr>
                <w:rFonts w:eastAsia="黑体" w:hint="eastAsia"/>
                <w:bCs/>
                <w:kern w:val="0"/>
                <w:sz w:val="28"/>
                <w:szCs w:val="28"/>
              </w:rPr>
              <w:t>自评</w:t>
            </w:r>
          </w:p>
        </w:tc>
      </w:tr>
      <w:tr w:rsidR="00C061E0" w:rsidTr="002E3070">
        <w:trPr>
          <w:trHeight w:val="477"/>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kern w:val="0"/>
                <w:sz w:val="22"/>
              </w:rPr>
              <w:t>1</w:t>
            </w:r>
            <w:r>
              <w:rPr>
                <w:rFonts w:eastAsia="仿宋_GB2312" w:hint="eastAsia"/>
                <w:kern w:val="0"/>
                <w:sz w:val="22"/>
              </w:rPr>
              <w:t>制度建设（</w:t>
            </w:r>
            <w:r>
              <w:rPr>
                <w:rFonts w:eastAsia="仿宋_GB2312"/>
                <w:kern w:val="0"/>
                <w:sz w:val="22"/>
              </w:rPr>
              <w:t>25</w:t>
            </w:r>
            <w:r>
              <w:rPr>
                <w:rFonts w:eastAsia="仿宋_GB2312" w:hint="eastAsia"/>
                <w:kern w:val="0"/>
                <w:sz w:val="22"/>
              </w:rPr>
              <w:t>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1-1       </w:t>
            </w:r>
            <w:r>
              <w:rPr>
                <w:rFonts w:eastAsia="仿宋_GB2312" w:hint="eastAsia"/>
                <w:kern w:val="0"/>
                <w:sz w:val="22"/>
              </w:rPr>
              <w:t>工作机构</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有语言文字工作机制，有校内部门分工负责制度。</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521"/>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1-2       </w:t>
            </w:r>
            <w:r>
              <w:rPr>
                <w:rFonts w:eastAsia="仿宋_GB2312" w:hint="eastAsia"/>
                <w:kern w:val="0"/>
                <w:sz w:val="22"/>
              </w:rPr>
              <w:t>长效机制</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语言文字工作有计划、有过程、有总结。校长熟悉语言文字法律法规、方针政策。将语言文字工作纳入日常管理，在学校发展规划和年度工作计划、总结中有语言文字工作内容；在用语用字、学生培养、教育实践过程中有关于语言文字使用的规章制度，并有定期检查落实制度；在职务评聘、教育教学考核评价等制度中，有关于语言文字应用能力、应用情况的明确要求。按照规定开设写字课和书法课。建立奖惩机制，对学校语言文字工作做出突出贡献的组织和个人给予表彰奖励。</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10</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225"/>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1-3       </w:t>
            </w:r>
            <w:r>
              <w:rPr>
                <w:rFonts w:eastAsia="仿宋_GB2312" w:hint="eastAsia"/>
                <w:kern w:val="0"/>
                <w:sz w:val="22"/>
              </w:rPr>
              <w:t>校园环境</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普通话是学校的工作语言和基本交际语言。校内有永久性国家通用语言文字宣传标识或标语，学校主页有语言文字工作宣传。重视环境对学生语言文化素养的熏陶作用，校内公文、文件、网站、宣传信息平台以及名称牌、指示牌、校风校训、标语、建筑物等用语用字符合规范及相关要求，汉语拼音使用规范，外文使用符合标准、规范。</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6</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457"/>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1-4       </w:t>
            </w:r>
            <w:r>
              <w:rPr>
                <w:rFonts w:eastAsia="仿宋_GB2312" w:hint="eastAsia"/>
                <w:kern w:val="0"/>
                <w:sz w:val="22"/>
              </w:rPr>
              <w:t>经费保障</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语言文字工作经费管理严格、使用规范、效益显著。</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4</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542"/>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kern w:val="0"/>
                <w:sz w:val="22"/>
              </w:rPr>
              <w:t>2</w:t>
            </w:r>
            <w:r>
              <w:rPr>
                <w:rFonts w:eastAsia="仿宋_GB2312" w:hint="eastAsia"/>
                <w:kern w:val="0"/>
                <w:sz w:val="22"/>
              </w:rPr>
              <w:t>能力建设（</w:t>
            </w:r>
            <w:r>
              <w:rPr>
                <w:rFonts w:eastAsia="仿宋_GB2312"/>
                <w:kern w:val="0"/>
                <w:sz w:val="22"/>
              </w:rPr>
              <w:t>30</w:t>
            </w:r>
            <w:r>
              <w:rPr>
                <w:rFonts w:eastAsia="仿宋_GB2312" w:hint="eastAsia"/>
                <w:kern w:val="0"/>
                <w:sz w:val="22"/>
              </w:rPr>
              <w:t>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2-1       </w:t>
            </w:r>
            <w:r>
              <w:rPr>
                <w:rFonts w:eastAsia="仿宋_GB2312" w:hint="eastAsia"/>
                <w:kern w:val="0"/>
                <w:sz w:val="22"/>
              </w:rPr>
              <w:t>规范意识</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教师熟悉国家语言文字方针政策和法律法规，自觉规范使用语言文字的意识强，学生有自觉规范使用语言文字的意识；高年级学生有较强的中华文化和语言的自豪感。</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23"/>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2-2       </w:t>
            </w:r>
            <w:r>
              <w:rPr>
                <w:rFonts w:eastAsia="仿宋_GB2312" w:hint="eastAsia"/>
                <w:kern w:val="0"/>
                <w:sz w:val="22"/>
              </w:rPr>
              <w:t>教师能力</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将语言文字应用能力纳入教师培训方案，强调培训效果。重视教师语言文字基本功训练，通过定期培训、综合培养等方式，提高教师语言文字应用能力，并适应教育教学的新要求。教师普通话水平达标。</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10</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841"/>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2-3       </w:t>
            </w:r>
            <w:r>
              <w:rPr>
                <w:rFonts w:eastAsia="仿宋_GB2312" w:hint="eastAsia"/>
                <w:kern w:val="0"/>
                <w:sz w:val="22"/>
              </w:rPr>
              <w:t>学生能力</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学生培养目标中有明确的语言文字规范意识和应用能力的要求，逐步提高学生语言文字应用能力，并达到课程标准的相应要求。学生能熟练规范地使用普通话；熟练掌握和使用应知应会的规范汉字和汉语拼音，书写规范。</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15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313"/>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kern w:val="0"/>
                <w:sz w:val="22"/>
              </w:rPr>
              <w:t>3</w:t>
            </w:r>
            <w:r>
              <w:rPr>
                <w:rFonts w:eastAsia="仿宋_GB2312" w:hint="eastAsia"/>
                <w:kern w:val="0"/>
                <w:sz w:val="22"/>
              </w:rPr>
              <w:t>教育教学（</w:t>
            </w:r>
            <w:r>
              <w:rPr>
                <w:rFonts w:eastAsia="仿宋_GB2312"/>
                <w:kern w:val="0"/>
                <w:sz w:val="22"/>
              </w:rPr>
              <w:t>25</w:t>
            </w:r>
            <w:r>
              <w:rPr>
                <w:rFonts w:eastAsia="仿宋_GB2312" w:hint="eastAsia"/>
                <w:kern w:val="0"/>
                <w:sz w:val="22"/>
              </w:rPr>
              <w:t>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3-1        </w:t>
            </w:r>
            <w:r>
              <w:rPr>
                <w:rFonts w:eastAsia="仿宋_GB2312" w:hint="eastAsia"/>
                <w:kern w:val="0"/>
                <w:sz w:val="22"/>
              </w:rPr>
              <w:t>教学活动</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以国家通用语言文字为基本的教育教学用语用字。教师在授课、教案、讲义、板书、课件、试卷、作业批改等教育教学活动中的用语、用字和书写规范。语文教师熟悉、掌握相关语言文字规范标准。建立学生语言文字应用能力培养方案，各学科教学中都重视学生语言文字规范意识和应用能力的培养和训练。语文课重视学生口语交际能力的培养和训练，有日常和定期的口语考核。</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15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260"/>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3-2        </w:t>
            </w:r>
            <w:r>
              <w:rPr>
                <w:rFonts w:eastAsia="仿宋_GB2312" w:hint="eastAsia"/>
                <w:kern w:val="0"/>
                <w:sz w:val="22"/>
              </w:rPr>
              <w:t>文化传承</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完善中华优秀传统文化教育体系，注重中华民族优秀文化传统和革命传统教育教学，将爱父母、爱家乡、爱祖国的教育贯穿于各个教育环节。学校广泛开展中华经典诵、写、讲等活动；教师自觉成为传承弘扬中华优秀文化的表率；学生有相关兴趣小组或社团，学生对中华优秀文化有认同感、自豪感和自信心。</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10</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953"/>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kern w:val="0"/>
                <w:sz w:val="22"/>
              </w:rPr>
              <w:t>4</w:t>
            </w:r>
            <w:r>
              <w:rPr>
                <w:rFonts w:eastAsia="仿宋_GB2312" w:hint="eastAsia"/>
                <w:kern w:val="0"/>
                <w:sz w:val="22"/>
              </w:rPr>
              <w:t>宣传普及（</w:t>
            </w:r>
            <w:r>
              <w:rPr>
                <w:rFonts w:eastAsia="仿宋_GB2312"/>
                <w:kern w:val="0"/>
                <w:sz w:val="22"/>
              </w:rPr>
              <w:t>10</w:t>
            </w:r>
            <w:r>
              <w:rPr>
                <w:rFonts w:eastAsia="仿宋_GB2312" w:hint="eastAsia"/>
                <w:kern w:val="0"/>
                <w:sz w:val="22"/>
              </w:rPr>
              <w:t>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4-1        </w:t>
            </w:r>
            <w:r>
              <w:rPr>
                <w:rFonts w:eastAsia="仿宋_GB2312" w:hint="eastAsia"/>
                <w:kern w:val="0"/>
                <w:sz w:val="22"/>
              </w:rPr>
              <w:t>法制宣传</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将语言文字方针政策、法律法规和规范标准列入学校普法宣传教育，网站、信息屏或宣传栏中有相关内容并定期更新。教职工熟悉掌握、高年级学生基本了解国家语言文字方针政策、法律法规和规范标准。</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4</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170"/>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4-2       </w:t>
            </w:r>
            <w:r>
              <w:rPr>
                <w:rFonts w:eastAsia="仿宋_GB2312" w:hint="eastAsia"/>
                <w:kern w:val="0"/>
                <w:sz w:val="22"/>
              </w:rPr>
              <w:t>推广普及</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每年推广普通话宣传周组织开展形式多样、寓教于乐的宣传活动。积极发挥学校在家校互动中的重要作用和对社会的辐射带动作用，带动社会研究和实践，并通过</w:t>
            </w:r>
            <w:r>
              <w:rPr>
                <w:rFonts w:eastAsia="仿宋_GB2312"/>
                <w:kern w:val="0"/>
                <w:sz w:val="22"/>
              </w:rPr>
              <w:t>“</w:t>
            </w:r>
            <w:r>
              <w:rPr>
                <w:rFonts w:eastAsia="仿宋_GB2312" w:hint="eastAsia"/>
                <w:kern w:val="0"/>
                <w:sz w:val="22"/>
              </w:rPr>
              <w:t>小手拉大手</w:t>
            </w:r>
            <w:r>
              <w:rPr>
                <w:rFonts w:eastAsia="仿宋_GB2312"/>
                <w:kern w:val="0"/>
                <w:sz w:val="22"/>
              </w:rPr>
              <w:t>”</w:t>
            </w:r>
            <w:r>
              <w:rPr>
                <w:rFonts w:eastAsia="仿宋_GB2312" w:hint="eastAsia"/>
                <w:kern w:val="0"/>
                <w:sz w:val="22"/>
              </w:rPr>
              <w:t>等活动，为家长和社会提供有关语言文字规范化的咨询或培训服务。</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6</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703"/>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kern w:val="0"/>
                <w:sz w:val="22"/>
              </w:rPr>
              <w:t>5</w:t>
            </w:r>
            <w:r>
              <w:rPr>
                <w:rFonts w:eastAsia="仿宋_GB2312" w:hint="eastAsia"/>
                <w:kern w:val="0"/>
                <w:sz w:val="22"/>
              </w:rPr>
              <w:t>科学发展（</w:t>
            </w:r>
            <w:r>
              <w:rPr>
                <w:rFonts w:eastAsia="仿宋_GB2312"/>
                <w:kern w:val="0"/>
                <w:sz w:val="22"/>
              </w:rPr>
              <w:t>10</w:t>
            </w:r>
            <w:r>
              <w:rPr>
                <w:rFonts w:eastAsia="仿宋_GB2312" w:hint="eastAsia"/>
                <w:kern w:val="0"/>
                <w:sz w:val="22"/>
              </w:rPr>
              <w:t>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5-1       </w:t>
            </w:r>
            <w:r>
              <w:rPr>
                <w:rFonts w:eastAsia="仿宋_GB2312" w:hint="eastAsia"/>
                <w:kern w:val="0"/>
                <w:sz w:val="22"/>
              </w:rPr>
              <w:t>科学研究</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重视学生语言学习方法研究，有可以指导教育实践的研究成果。研究建立学生语言文字应用能力评价体系，重视并开展学生口语测试评价。积极开展中华优秀传统文化教育教学方法研究。</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029"/>
          <w:jc w:val="center"/>
        </w:trPr>
        <w:tc>
          <w:tcPr>
            <w:tcW w:w="1276" w:type="dxa"/>
            <w:vMerge/>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 xml:space="preserve">5-2       </w:t>
            </w:r>
            <w:r>
              <w:rPr>
                <w:rFonts w:eastAsia="仿宋_GB2312" w:hint="eastAsia"/>
                <w:kern w:val="0"/>
                <w:sz w:val="22"/>
              </w:rPr>
              <w:t>创新实践</w:t>
            </w: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结合本地和本校实际情况及办学特色，积极探索学校语言文字工作新途径、新方法。</w:t>
            </w:r>
            <w:r>
              <w:rPr>
                <w:rFonts w:eastAsia="仿宋_GB2312"/>
                <w:kern w:val="0"/>
                <w:sz w:val="22"/>
              </w:rPr>
              <w:t xml:space="preserve"> </w:t>
            </w:r>
            <w:r>
              <w:rPr>
                <w:rFonts w:eastAsia="仿宋_GB2312" w:hint="eastAsia"/>
                <w:kern w:val="0"/>
                <w:sz w:val="22"/>
              </w:rPr>
              <w:t>创造性地开展各种语言文化活动，形成品牌或传统。自主研发语言文字校本课程、教材或教辅材料，取得良好的教育教学效果。</w:t>
            </w: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1029"/>
          <w:jc w:val="center"/>
        </w:trPr>
        <w:tc>
          <w:tcPr>
            <w:tcW w:w="1276"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widowControl/>
              <w:jc w:val="left"/>
              <w:rPr>
                <w:rFonts w:eastAsia="仿宋_GB2312"/>
                <w:kern w:val="0"/>
                <w:sz w:val="22"/>
              </w:rPr>
            </w:pPr>
            <w:r>
              <w:rPr>
                <w:rFonts w:eastAsia="仿宋_GB2312" w:hint="eastAsia"/>
                <w:kern w:val="0"/>
                <w:sz w:val="22"/>
              </w:rPr>
              <w:t>总分</w:t>
            </w:r>
          </w:p>
        </w:tc>
        <w:tc>
          <w:tcPr>
            <w:tcW w:w="1288"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c>
          <w:tcPr>
            <w:tcW w:w="6083"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p>
        </w:tc>
        <w:tc>
          <w:tcPr>
            <w:tcW w:w="850"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r>
              <w:rPr>
                <w:rFonts w:eastAsia="仿宋_GB2312" w:hint="eastAsia"/>
                <w:kern w:val="0"/>
                <w:sz w:val="22"/>
              </w:rPr>
              <w:t>1</w:t>
            </w:r>
            <w:r>
              <w:rPr>
                <w:rFonts w:eastAsia="仿宋_GB2312"/>
                <w:kern w:val="0"/>
                <w:sz w:val="22"/>
              </w:rPr>
              <w:t>00</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center"/>
              <w:rPr>
                <w:rFonts w:eastAsia="仿宋_GB2312"/>
                <w:kern w:val="0"/>
                <w:sz w:val="22"/>
              </w:rPr>
            </w:pPr>
          </w:p>
        </w:tc>
      </w:tr>
      <w:tr w:rsidR="00C061E0" w:rsidTr="002E3070">
        <w:trPr>
          <w:trHeight w:val="841"/>
          <w:jc w:val="center"/>
        </w:trPr>
        <w:tc>
          <w:tcPr>
            <w:tcW w:w="9497" w:type="dxa"/>
            <w:gridSpan w:val="4"/>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r>
              <w:rPr>
                <w:rFonts w:eastAsia="仿宋_GB2312" w:hint="eastAsia"/>
                <w:kern w:val="0"/>
                <w:sz w:val="22"/>
              </w:rPr>
              <w:t>说明：</w:t>
            </w:r>
          </w:p>
          <w:p w:rsidR="00C061E0" w:rsidRDefault="00C061E0" w:rsidP="002E3070">
            <w:pPr>
              <w:spacing w:line="320" w:lineRule="exact"/>
              <w:jc w:val="left"/>
              <w:rPr>
                <w:rFonts w:eastAsia="仿宋_GB2312"/>
                <w:kern w:val="0"/>
                <w:sz w:val="22"/>
              </w:rPr>
            </w:pPr>
            <w:r>
              <w:rPr>
                <w:rFonts w:eastAsia="仿宋_GB2312"/>
                <w:kern w:val="0"/>
                <w:sz w:val="22"/>
              </w:rPr>
              <w:t>1.</w:t>
            </w:r>
            <w:r>
              <w:rPr>
                <w:rFonts w:eastAsia="仿宋_GB2312" w:hint="eastAsia"/>
                <w:kern w:val="0"/>
                <w:sz w:val="22"/>
              </w:rPr>
              <w:t>满分为</w:t>
            </w:r>
            <w:r>
              <w:rPr>
                <w:rFonts w:eastAsia="仿宋_GB2312"/>
                <w:kern w:val="0"/>
                <w:sz w:val="22"/>
              </w:rPr>
              <w:t>100</w:t>
            </w:r>
            <w:r>
              <w:rPr>
                <w:rFonts w:eastAsia="仿宋_GB2312" w:hint="eastAsia"/>
                <w:kern w:val="0"/>
                <w:sz w:val="22"/>
              </w:rPr>
              <w:t>分，</w:t>
            </w:r>
            <w:r>
              <w:rPr>
                <w:rFonts w:eastAsia="仿宋_GB2312"/>
                <w:kern w:val="0"/>
                <w:sz w:val="22"/>
              </w:rPr>
              <w:t>70</w:t>
            </w:r>
            <w:r>
              <w:rPr>
                <w:rFonts w:eastAsia="仿宋_GB2312" w:hint="eastAsia"/>
                <w:kern w:val="0"/>
                <w:sz w:val="22"/>
              </w:rPr>
              <w:t>分及以上为合格，其他等级要求由各地自行制定；</w:t>
            </w:r>
          </w:p>
          <w:p w:rsidR="00C061E0" w:rsidRDefault="00C061E0" w:rsidP="002E3070">
            <w:pPr>
              <w:spacing w:line="320" w:lineRule="exact"/>
              <w:jc w:val="left"/>
              <w:rPr>
                <w:rFonts w:eastAsia="仿宋_GB2312"/>
                <w:kern w:val="0"/>
                <w:sz w:val="22"/>
              </w:rPr>
            </w:pPr>
            <w:r>
              <w:rPr>
                <w:rFonts w:eastAsia="仿宋_GB2312"/>
                <w:kern w:val="0"/>
                <w:sz w:val="22"/>
              </w:rPr>
              <w:t>2.</w:t>
            </w:r>
            <w:r>
              <w:rPr>
                <w:rFonts w:eastAsia="仿宋_GB2312" w:hint="eastAsia"/>
                <w:kern w:val="0"/>
                <w:sz w:val="22"/>
              </w:rPr>
              <w:t>指标</w:t>
            </w:r>
            <w:r>
              <w:rPr>
                <w:rFonts w:eastAsia="仿宋_GB2312"/>
                <w:kern w:val="0"/>
                <w:sz w:val="22"/>
              </w:rPr>
              <w:t>1-3</w:t>
            </w:r>
            <w:r>
              <w:rPr>
                <w:rFonts w:eastAsia="仿宋_GB2312" w:hint="eastAsia"/>
                <w:kern w:val="0"/>
                <w:sz w:val="22"/>
              </w:rPr>
              <w:t>中，学校名牌、公章等用字不规范的此项不得分；</w:t>
            </w:r>
          </w:p>
          <w:p w:rsidR="00C061E0" w:rsidRDefault="00C061E0" w:rsidP="002E3070">
            <w:pPr>
              <w:spacing w:line="320" w:lineRule="exact"/>
              <w:jc w:val="left"/>
              <w:rPr>
                <w:rFonts w:eastAsia="仿宋_GB2312"/>
                <w:kern w:val="0"/>
                <w:sz w:val="22"/>
              </w:rPr>
            </w:pPr>
            <w:r>
              <w:rPr>
                <w:rFonts w:eastAsia="仿宋_GB2312"/>
                <w:kern w:val="0"/>
                <w:sz w:val="22"/>
              </w:rPr>
              <w:t>3.</w:t>
            </w:r>
            <w:r>
              <w:rPr>
                <w:rFonts w:eastAsia="仿宋_GB2312" w:hint="eastAsia"/>
                <w:kern w:val="0"/>
                <w:sz w:val="22"/>
              </w:rPr>
              <w:t>指标</w:t>
            </w:r>
            <w:r>
              <w:rPr>
                <w:rFonts w:eastAsia="仿宋_GB2312"/>
                <w:kern w:val="0"/>
                <w:sz w:val="22"/>
              </w:rPr>
              <w:t>2-2</w:t>
            </w:r>
            <w:r>
              <w:rPr>
                <w:rFonts w:eastAsia="仿宋_GB2312" w:hint="eastAsia"/>
                <w:kern w:val="0"/>
                <w:sz w:val="22"/>
              </w:rPr>
              <w:t>中，普通话达标率低于</w:t>
            </w:r>
            <w:r>
              <w:rPr>
                <w:rFonts w:eastAsia="仿宋_GB2312"/>
                <w:kern w:val="0"/>
                <w:sz w:val="22"/>
              </w:rPr>
              <w:t>98%</w:t>
            </w:r>
            <w:r>
              <w:rPr>
                <w:rFonts w:eastAsia="仿宋_GB2312" w:hint="eastAsia"/>
                <w:kern w:val="0"/>
                <w:sz w:val="22"/>
              </w:rPr>
              <w:t>的此项不得分；</w:t>
            </w:r>
            <w:r>
              <w:rPr>
                <w:rFonts w:eastAsia="仿宋_GB2312"/>
                <w:kern w:val="0"/>
                <w:sz w:val="22"/>
              </w:rPr>
              <w:t>4.</w:t>
            </w:r>
            <w:r>
              <w:rPr>
                <w:rFonts w:eastAsia="仿宋_GB2312" w:hint="eastAsia"/>
                <w:kern w:val="0"/>
                <w:sz w:val="22"/>
              </w:rPr>
              <w:t>各地可自行设定加分项目，总分不超过</w:t>
            </w:r>
            <w:r>
              <w:rPr>
                <w:rFonts w:eastAsia="仿宋_GB2312"/>
                <w:kern w:val="0"/>
                <w:sz w:val="22"/>
              </w:rPr>
              <w:t>5</w:t>
            </w:r>
            <w:r>
              <w:rPr>
                <w:rFonts w:eastAsia="仿宋_GB2312" w:hint="eastAsia"/>
                <w:kern w:val="0"/>
                <w:sz w:val="22"/>
              </w:rPr>
              <w:t>分。</w:t>
            </w:r>
          </w:p>
        </w:tc>
        <w:tc>
          <w:tcPr>
            <w:tcW w:w="567" w:type="dxa"/>
            <w:tcBorders>
              <w:top w:val="single" w:sz="6" w:space="0" w:color="auto"/>
              <w:left w:val="single" w:sz="6" w:space="0" w:color="auto"/>
              <w:bottom w:val="single" w:sz="6" w:space="0" w:color="auto"/>
              <w:right w:val="single" w:sz="6" w:space="0" w:color="auto"/>
            </w:tcBorders>
            <w:vAlign w:val="center"/>
          </w:tcPr>
          <w:p w:rsidR="00C061E0" w:rsidRDefault="00C061E0" w:rsidP="002E3070">
            <w:pPr>
              <w:spacing w:line="320" w:lineRule="exact"/>
              <w:jc w:val="left"/>
              <w:rPr>
                <w:rFonts w:eastAsia="仿宋_GB2312"/>
                <w:kern w:val="0"/>
                <w:sz w:val="22"/>
              </w:rPr>
            </w:pPr>
          </w:p>
        </w:tc>
      </w:tr>
    </w:tbl>
    <w:p w:rsidR="00972612" w:rsidRDefault="00972612">
      <w:bookmarkStart w:id="0" w:name="_GoBack"/>
      <w:bookmarkEnd w:id="0"/>
    </w:p>
    <w:sectPr w:rsidR="00972612" w:rsidSect="00463A69">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FZYouHei 512B">
    <w:panose1 w:val="02000000000000000000"/>
    <w:charset w:val="86"/>
    <w:family w:val="auto"/>
    <w:pitch w:val="variable"/>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KaiTi_GB2312"/>
    <w:panose1 w:val="02010609030101010101"/>
    <w:charset w:val="86"/>
    <w:family w:val="modern"/>
    <w:pitch w:val="fixed"/>
    <w:sig w:usb0="00000001" w:usb1="080E0000" w:usb2="00000010" w:usb3="00000000" w:csb0="00040001" w:csb1="00000000"/>
  </w:font>
  <w:font w:name="方正小标宋简体">
    <w:altName w:val="微软雅黑"/>
    <w:panose1 w:val="03000509000000000000"/>
    <w:charset w:val="86"/>
    <w:family w:val="script"/>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24EFF"/>
    <w:multiLevelType w:val="hybridMultilevel"/>
    <w:tmpl w:val="7482F84E"/>
    <w:lvl w:ilvl="0" w:tplc="90208B3E">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1E0"/>
    <w:rsid w:val="00463A69"/>
    <w:rsid w:val="00825A6D"/>
    <w:rsid w:val="00972612"/>
    <w:rsid w:val="00C06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E2A937E"/>
  <w15:chartTrackingRefBased/>
  <w15:docId w15:val="{9EEBBA2C-3B7D-1A4B-B9E8-E3B26DD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61E0"/>
    <w:pPr>
      <w:widowControl w:val="0"/>
      <w:jc w:val="both"/>
    </w:pPr>
    <w:rPr>
      <w:rFonts w:ascii="Calibri" w:eastAsia="宋体" w:hAnsi="Calibri" w:cs="Times New Roman"/>
    </w:rPr>
  </w:style>
  <w:style w:type="paragraph" w:styleId="10">
    <w:name w:val="heading 1"/>
    <w:basedOn w:val="a"/>
    <w:next w:val="a"/>
    <w:link w:val="11"/>
    <w:uiPriority w:val="9"/>
    <w:qFormat/>
    <w:rsid w:val="00825A6D"/>
    <w:pPr>
      <w:keepNext/>
      <w:keepLines/>
      <w:spacing w:before="340" w:after="330" w:line="578" w:lineRule="auto"/>
      <w:outlineLvl w:val="0"/>
    </w:pPr>
    <w:rPr>
      <w:rFonts w:asciiTheme="minorHAnsi" w:eastAsia="FZYouHei 512B"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basedOn w:val="a0"/>
    <w:link w:val="10"/>
    <w:uiPriority w:val="9"/>
    <w:rsid w:val="00825A6D"/>
    <w:rPr>
      <w:rFonts w:eastAsia="FZYouHei 512B"/>
      <w:b/>
      <w:bCs/>
      <w:kern w:val="44"/>
      <w:sz w:val="44"/>
      <w:szCs w:val="44"/>
    </w:rPr>
  </w:style>
  <w:style w:type="paragraph" w:customStyle="1" w:styleId="1">
    <w:name w:val="样式1"/>
    <w:basedOn w:val="10"/>
    <w:qFormat/>
    <w:rsid w:val="00825A6D"/>
    <w:pPr>
      <w:numPr>
        <w:numId w:val="1"/>
      </w:numPr>
    </w:pPr>
    <w:rPr>
      <w:rFonts w:ascii="FZYouHei 512B" w:hAnsi="FZYouHei 512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JianBin</dc:creator>
  <cp:keywords/>
  <dc:description/>
  <cp:lastModifiedBy>Jin JianBin</cp:lastModifiedBy>
  <cp:revision>1</cp:revision>
  <dcterms:created xsi:type="dcterms:W3CDTF">2018-09-25T08:23:00Z</dcterms:created>
  <dcterms:modified xsi:type="dcterms:W3CDTF">2018-09-25T08:23:00Z</dcterms:modified>
</cp:coreProperties>
</file>