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300" w:lineRule="exact"/>
        <w:jc w:val="distribute"/>
        <w:rPr>
          <w:rFonts w:ascii="Times New Roman" w:hAnsi="Times New Roman" w:eastAsia="方正小标宋简体" w:cs="Times New Roman"/>
          <w:bCs/>
          <w:color w:val="FF0000"/>
          <w:w w:val="65"/>
          <w:sz w:val="120"/>
          <w:szCs w:val="130"/>
        </w:rPr>
      </w:pPr>
      <w:bookmarkStart w:id="0" w:name="OLE_LINK27"/>
      <w:r>
        <w:rPr>
          <w:rFonts w:ascii="Times New Roman" w:hAnsi="Times New Roman" w:eastAsia="黑体" w:cs="Times New Roman"/>
          <w:color w:val="FF0000"/>
          <w:spacing w:val="36"/>
          <w:sz w:val="52"/>
          <w:szCs w:val="52"/>
          <w:u w:val="single"/>
        </w:rPr>
        <mc:AlternateContent>
          <mc:Choice Requires="wps">
            <w:drawing>
              <wp:anchor distT="0" distB="0" distL="114300" distR="114300" simplePos="0" relativeHeight="251659264" behindDoc="0" locked="0" layoutInCell="1" allowOverlap="1">
                <wp:simplePos x="0" y="0"/>
                <wp:positionH relativeFrom="margin">
                  <wp:posOffset>-1905</wp:posOffset>
                </wp:positionH>
                <wp:positionV relativeFrom="paragraph">
                  <wp:posOffset>794385</wp:posOffset>
                </wp:positionV>
                <wp:extent cx="6084570" cy="10795"/>
                <wp:effectExtent l="19050" t="19050" r="30480" b="2730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84570" cy="10795"/>
                        </a:xfrm>
                        <a:prstGeom prst="line">
                          <a:avLst/>
                        </a:prstGeom>
                        <a:noFill/>
                        <a:ln w="38100">
                          <a:solidFill>
                            <a:srgbClr val="FF0000"/>
                          </a:solidFill>
                          <a:round/>
                        </a:ln>
                      </wps:spPr>
                      <wps:bodyPr/>
                    </wps:wsp>
                  </a:graphicData>
                </a:graphic>
              </wp:anchor>
            </w:drawing>
          </mc:Choice>
          <mc:Fallback>
            <w:pict>
              <v:line id="_x0000_s1026" o:spid="_x0000_s1026" o:spt="20" style="position:absolute;left:0pt;flip:y;margin-left:-0.15pt;margin-top:62.55pt;height:0.85pt;width:479.1pt;mso-position-horizontal-relative:margin;z-index:251659264;mso-width-relative:page;mso-height-relative:page;" filled="f" stroked="t" coordsize="21600,21600" o:gfxdata="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OhqHnYAAAACQEAAA8AAAAAAAAAAQAg&#10;AAAAIgAAAGRycy9kb3ducmV2LnhtbFBLAQIUABQAAAAIAIdO4kBgaKIb1QEAAGsDAAAOAAAAAAAA&#10;AAEAIAAAACcBAABkcnMvZTJvRG9jLnhtbFBLBQYAAAAABgAGAFkBAABuBQAAAAA=&#10;">
                <v:fill on="f" focussize="0,0"/>
                <v:stroke weight="3pt" color="#FF0000" joinstyle="round"/>
                <v:imagedata o:title=""/>
                <o:lock v:ext="edit" aspectratio="f"/>
              </v:line>
            </w:pict>
          </mc:Fallback>
        </mc:AlternateContent>
      </w:r>
      <w:r>
        <w:rPr>
          <w:rFonts w:ascii="Times New Roman" w:hAnsi="Times New Roman" w:eastAsia="方正小标宋简体" w:cs="Times New Roman"/>
          <w:bCs/>
          <w:color w:val="FF0000"/>
          <w:w w:val="65"/>
          <w:sz w:val="120"/>
          <w:szCs w:val="130"/>
        </w:rPr>
        <w:t>江苏省常州环境监测中心</w:t>
      </w:r>
    </w:p>
    <w:p>
      <w:pPr>
        <w:spacing w:line="360" w:lineRule="auto"/>
        <w:jc w:val="center"/>
        <w:rPr>
          <w:rFonts w:ascii="Times New Roman" w:hAnsi="Times New Roman" w:eastAsia="黑体" w:cs="Times New Roman"/>
          <w:sz w:val="24"/>
          <w:szCs w:val="24"/>
        </w:rPr>
      </w:pPr>
    </w:p>
    <w:p>
      <w:pPr>
        <w:spacing w:line="360" w:lineRule="auto"/>
        <w:jc w:val="center"/>
        <w:rPr>
          <w:rFonts w:ascii="Times New Roman" w:hAnsi="Times New Roman" w:eastAsia="黑体" w:cs="Times New Roman"/>
          <w:sz w:val="48"/>
          <w:szCs w:val="48"/>
        </w:rPr>
      </w:pPr>
      <w:r>
        <w:rPr>
          <w:rFonts w:ascii="Times New Roman" w:hAnsi="Times New Roman" w:eastAsia="黑体" w:cs="Times New Roman"/>
          <w:sz w:val="48"/>
          <w:szCs w:val="48"/>
        </w:rPr>
        <w:t>2019年1~3月常州市降尘监测结果简报</w:t>
      </w:r>
      <w:bookmarkEnd w:id="0"/>
    </w:p>
    <w:p>
      <w:pPr>
        <w:spacing w:line="360" w:lineRule="auto"/>
        <w:jc w:val="center"/>
        <w:rPr>
          <w:rFonts w:ascii="Times New Roman" w:hAnsi="Times New Roman" w:eastAsia="黑体" w:cs="Times New Roman"/>
          <w:sz w:val="30"/>
          <w:szCs w:val="30"/>
        </w:rPr>
      </w:pPr>
      <w:r>
        <w:rPr>
          <w:rFonts w:ascii="Times New Roman" w:hAnsi="Times New Roman" w:eastAsia="黑体" w:cs="Times New Roman"/>
          <w:sz w:val="30"/>
          <w:szCs w:val="30"/>
        </w:rPr>
        <w:t>（第6期）</w:t>
      </w:r>
    </w:p>
    <w:p>
      <w:pPr>
        <w:spacing w:line="360" w:lineRule="auto"/>
        <w:jc w:val="center"/>
        <w:rPr>
          <w:rFonts w:ascii="Times New Roman" w:hAnsi="Times New Roman" w:eastAsia="黑体" w:cs="Times New Roman"/>
          <w:sz w:val="30"/>
          <w:szCs w:val="30"/>
        </w:rPr>
      </w:pPr>
    </w:p>
    <w:p>
      <w:pPr>
        <w:pStyle w:val="2"/>
        <w:rPr>
          <w:rFonts w:ascii="Times New Roman" w:hAnsi="Times New Roman" w:cs="Times New Roman"/>
        </w:rPr>
      </w:pPr>
      <w:r>
        <w:rPr>
          <w:rFonts w:ascii="Times New Roman" w:hAnsi="Times New Roman" w:cs="Times New Roman"/>
        </w:rPr>
        <w:t>一、当月降尘情况分析</w:t>
      </w:r>
    </w:p>
    <w:p>
      <w:pPr>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江苏省常州环境监测中心的采样分析结果，2019年3月常州市全市已建成的139个降尘监测点位共获取有效监测数据136个，全市均值为6.01吨/月·平方公里，环比上升0.91吨/月·平方公里。根据国务院《打赢蓝天保卫战三年行动计划》（国发〔2018〕22号）中“长三角地区不得高于5吨/月·平方公里”和《江苏省打赢蓝天保卫战三年行动计划实施方案》（征求意见稿）中“沿江8市各市不得高于5吨/月·平方公里”的要求，常州市降尘量略偏高（详见附表1）。</w:t>
      </w:r>
    </w:p>
    <w:p>
      <w:pPr>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常州各辖市区降尘月均值在5.14~6.61吨/月·平方公里之间，钟楼区最低，新北区最高（图1）。从街区分布来看，全市40个街道和乡镇的降尘量在3.49~9.16吨/月·平方公里之间。其中，钟楼区新闸街道等共14个街道的降尘量低于5吨/月·平方公里，达到了国家要求；全市当月降尘量最高的10个乡镇（街道）从高到低依次为：南夏墅、</w:t>
      </w:r>
      <w:bookmarkStart w:id="1" w:name="_GoBack"/>
      <w:bookmarkEnd w:id="1"/>
      <w:r>
        <w:rPr>
          <w:rFonts w:ascii="Times New Roman" w:hAnsi="Times New Roman" w:eastAsia="仿宋" w:cs="Times New Roman"/>
          <w:sz w:val="32"/>
          <w:szCs w:val="32"/>
        </w:rPr>
        <w:t>孟河镇、洛阳镇、五星街道、罗溪镇、三井街道、西夏墅镇、荷花池街道、郑陆镇和遥观镇（详见附表2和附表3）。</w:t>
      </w:r>
    </w:p>
    <w:p>
      <w:pPr>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本月监测点位中，江苏绿和环境科技有限公司和太湖菜场两个点位数据相对其他点位明显偏高，分别为20.2吨/月·平方公里和19.5吨/月·平方公里。</w:t>
      </w:r>
      <w:r>
        <w:rPr>
          <w:rFonts w:hint="eastAsia" w:ascii="Times New Roman" w:hAnsi="Times New Roman" w:eastAsia="仿宋" w:cs="Times New Roman"/>
          <w:sz w:val="32"/>
          <w:szCs w:val="32"/>
        </w:rPr>
        <w:t>经查</w:t>
      </w:r>
      <w:r>
        <w:rPr>
          <w:rFonts w:ascii="Times New Roman" w:hAnsi="Times New Roman" w:eastAsia="仿宋" w:cs="Times New Roman"/>
          <w:sz w:val="32"/>
          <w:szCs w:val="32"/>
        </w:rPr>
        <w:t>，点位</w:t>
      </w:r>
      <w:r>
        <w:rPr>
          <w:rFonts w:hint="eastAsia" w:ascii="Times New Roman" w:hAnsi="Times New Roman" w:eastAsia="仿宋" w:cs="Times New Roman"/>
          <w:sz w:val="32"/>
          <w:szCs w:val="32"/>
        </w:rPr>
        <w:t>监测</w:t>
      </w:r>
      <w:r>
        <w:rPr>
          <w:rFonts w:ascii="Times New Roman" w:hAnsi="Times New Roman" w:eastAsia="仿宋" w:cs="Times New Roman"/>
          <w:sz w:val="32"/>
          <w:szCs w:val="32"/>
        </w:rPr>
        <w:t>情况正常</w:t>
      </w:r>
      <w:r>
        <w:rPr>
          <w:rFonts w:hint="eastAsia" w:ascii="Times New Roman" w:hAnsi="Times New Roman" w:eastAsia="仿宋" w:cs="Times New Roman"/>
          <w:sz w:val="32"/>
          <w:szCs w:val="32"/>
        </w:rPr>
        <w:t>，因此</w:t>
      </w:r>
      <w:r>
        <w:rPr>
          <w:rFonts w:ascii="Times New Roman" w:hAnsi="Times New Roman" w:eastAsia="仿宋" w:cs="Times New Roman"/>
          <w:sz w:val="32"/>
          <w:szCs w:val="32"/>
        </w:rPr>
        <w:t>，</w:t>
      </w:r>
      <w:r>
        <w:rPr>
          <w:rFonts w:hint="eastAsia" w:ascii="Times New Roman" w:hAnsi="Times New Roman" w:eastAsia="仿宋" w:cs="Times New Roman"/>
          <w:sz w:val="32"/>
          <w:szCs w:val="32"/>
        </w:rPr>
        <w:t>本月</w:t>
      </w:r>
      <w:r>
        <w:rPr>
          <w:rFonts w:ascii="Times New Roman" w:hAnsi="Times New Roman" w:eastAsia="仿宋" w:cs="Times New Roman"/>
          <w:sz w:val="32"/>
          <w:szCs w:val="32"/>
        </w:rPr>
        <w:t>均纳入统计</w:t>
      </w:r>
      <w:r>
        <w:rPr>
          <w:rFonts w:hint="eastAsia" w:ascii="Times New Roman" w:hAnsi="Times New Roman" w:eastAsia="仿宋" w:cs="Times New Roman"/>
          <w:sz w:val="32"/>
          <w:szCs w:val="32"/>
        </w:rPr>
        <w:t>。</w:t>
      </w:r>
    </w:p>
    <w:p>
      <w:pPr>
        <w:snapToGrid w:val="0"/>
        <w:spacing w:line="360" w:lineRule="auto"/>
        <w:ind w:firstLine="560" w:firstLineChars="200"/>
        <w:jc w:val="center"/>
        <w:rPr>
          <w:rFonts w:ascii="Times New Roman" w:hAnsi="Times New Roman" w:eastAsia="黑体" w:cs="Times New Roman"/>
          <w:sz w:val="28"/>
        </w:rPr>
      </w:pPr>
      <w:r>
        <w:rPr>
          <w:rFonts w:ascii="Times New Roman" w:hAnsi="Times New Roman" w:cs="Times New Roman"/>
          <w:sz w:val="28"/>
        </w:rPr>
        <w:drawing>
          <wp:inline distT="0" distB="0" distL="0" distR="0">
            <wp:extent cx="4420870" cy="1844675"/>
            <wp:effectExtent l="0" t="0" r="0" b="31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snapToGrid w:val="0"/>
        <w:spacing w:line="360" w:lineRule="auto"/>
        <w:ind w:firstLine="560" w:firstLineChars="200"/>
        <w:jc w:val="center"/>
        <w:rPr>
          <w:rFonts w:ascii="Times New Roman" w:hAnsi="Times New Roman" w:eastAsia="黑体" w:cs="Times New Roman"/>
          <w:sz w:val="28"/>
        </w:rPr>
      </w:pPr>
      <w:r>
        <w:rPr>
          <w:rFonts w:ascii="Times New Roman" w:hAnsi="Times New Roman" w:eastAsia="黑体" w:cs="Times New Roman"/>
          <w:sz w:val="28"/>
        </w:rPr>
        <w:t>图1  2019年3月常州市中心城区降尘量辖区分布情况</w:t>
      </w:r>
    </w:p>
    <w:p>
      <w:pPr>
        <w:pStyle w:val="2"/>
        <w:rPr>
          <w:rFonts w:ascii="Times New Roman" w:hAnsi="Times New Roman" w:cs="Times New Roman"/>
        </w:rPr>
      </w:pPr>
      <w:r>
        <w:rPr>
          <w:rFonts w:ascii="Times New Roman" w:hAnsi="Times New Roman" w:cs="Times New Roman"/>
        </w:rPr>
        <w:t>二、累计降尘情况分析</w:t>
      </w:r>
    </w:p>
    <w:p>
      <w:pPr>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1~3月，全市累计均值为5.75吨/月·平方公里。</w:t>
      </w:r>
    </w:p>
    <w:p>
      <w:pPr>
        <w:snapToGrid w:val="0"/>
        <w:spacing w:line="360" w:lineRule="auto"/>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对40个街道（乡镇）进行排名（详见附表4），其中，降尘浓度最高的十个乡镇依次为：南夏墅（8.27t/30d·km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）、孟河镇（7.68t/30d·km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）、郑陆镇（7.25t/30d·km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）、五星街道（7.05t/30d·km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）、新桥镇（6.97t/30d·km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）、洛阳镇（6.87t/30d·km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）、奔牛镇（6.71t/30d·km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）、罗溪镇（6.69 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）、荷花池街道（6.41t/30d·km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）、邹区镇（6.30t/30d·km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p>
    <w:p>
      <w:pPr>
        <w:pStyle w:val="2"/>
        <w:rPr>
          <w:rFonts w:ascii="Times New Roman" w:hAnsi="Times New Roman" w:cs="Times New Roman"/>
        </w:rPr>
      </w:pPr>
      <w:r>
        <w:rPr>
          <w:rFonts w:ascii="Times New Roman" w:hAnsi="Times New Roman" w:cs="Times New Roman"/>
        </w:rPr>
        <w:t>三、国控点位周边3公里</w:t>
      </w:r>
      <w:r>
        <w:rPr>
          <w:rFonts w:hint="eastAsia" w:ascii="Times New Roman" w:hAnsi="Times New Roman" w:cs="Times New Roman"/>
        </w:rPr>
        <w:t>加密监测</w:t>
      </w:r>
      <w:r>
        <w:rPr>
          <w:rFonts w:ascii="Times New Roman" w:hAnsi="Times New Roman" w:cs="Times New Roman"/>
        </w:rPr>
        <w:t>数据分析</w:t>
      </w:r>
    </w:p>
    <w:p>
      <w:pPr>
        <w:rPr>
          <w:rFonts w:ascii="Times New Roman" w:hAnsi="Times New Roman" w:eastAsia="仿宋" w:cs="Times New Roman"/>
          <w:b/>
          <w:sz w:val="32"/>
          <w:szCs w:val="32"/>
        </w:rPr>
      </w:pPr>
      <w:r>
        <w:rPr>
          <w:rFonts w:ascii="Times New Roman" w:hAnsi="Times New Roman" w:eastAsia="仿宋" w:cs="Times New Roman"/>
          <w:b/>
          <w:sz w:val="32"/>
          <w:szCs w:val="32"/>
        </w:rPr>
        <w:t>1、市监测站</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市监测站点位3月降尘值为5.9吨/月·平方公里。其周边加密监测点位降尘浓度在3.5~5.9吨/月·平方公里之间（图2）。其中，桃园路7号点位降尘浓度5.9吨/月·平方公里，其余点位降尘浓度均低于国控点位和5吨/月·平方公里标准值。</w:t>
      </w:r>
    </w:p>
    <w:p>
      <w:pPr>
        <w:ind w:firstLine="640" w:firstLineChars="20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3505200" cy="27158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38352" cy="2741773"/>
                    </a:xfrm>
                    <a:prstGeom prst="rect">
                      <a:avLst/>
                    </a:prstGeom>
                    <a:noFill/>
                  </pic:spPr>
                </pic:pic>
              </a:graphicData>
            </a:graphic>
          </wp:inline>
        </w:drawing>
      </w:r>
    </w:p>
    <w:p>
      <w:pPr>
        <w:jc w:val="center"/>
        <w:rPr>
          <w:rFonts w:ascii="Times New Roman" w:hAnsi="Times New Roman" w:eastAsia="黑体" w:cs="Times New Roman"/>
          <w:sz w:val="24"/>
          <w:szCs w:val="32"/>
        </w:rPr>
      </w:pPr>
      <w:r>
        <w:rPr>
          <w:rFonts w:ascii="Times New Roman" w:hAnsi="Times New Roman" w:eastAsia="黑体" w:cs="Times New Roman"/>
          <w:sz w:val="24"/>
          <w:szCs w:val="32"/>
        </w:rPr>
        <w:t>图2  市监测站周边3公里加密降尘浓度分布</w:t>
      </w:r>
    </w:p>
    <w:p>
      <w:pPr>
        <w:rPr>
          <w:rFonts w:ascii="Times New Roman" w:hAnsi="Times New Roman" w:eastAsia="仿宋" w:cs="Times New Roman"/>
          <w:b/>
          <w:sz w:val="32"/>
          <w:szCs w:val="32"/>
        </w:rPr>
      </w:pPr>
      <w:r>
        <w:rPr>
          <w:rFonts w:ascii="Times New Roman" w:hAnsi="Times New Roman" w:eastAsia="仿宋" w:cs="Times New Roman"/>
          <w:b/>
          <w:sz w:val="32"/>
          <w:szCs w:val="32"/>
        </w:rPr>
        <w:t>2、钟楼</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钟楼点位3月降尘值为5.9吨/月·平方公里。其周边加密监测点位降尘浓度在3.7~6.8吨/月·平方公里之间。其中，星悦花都售楼处点位降尘浓度6.8吨/月·平方公里，其余点位降尘浓度均低于国控点位和5吨/月·平方公里标准值。</w:t>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drawing>
          <wp:inline distT="0" distB="0" distL="0" distR="0">
            <wp:extent cx="3392805" cy="30333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27866" cy="3064825"/>
                    </a:xfrm>
                    <a:prstGeom prst="rect">
                      <a:avLst/>
                    </a:prstGeom>
                    <a:noFill/>
                  </pic:spPr>
                </pic:pic>
              </a:graphicData>
            </a:graphic>
          </wp:inline>
        </w:drawing>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t>图3  钟楼点位周边3公里加密降尘浓度分布</w:t>
      </w:r>
    </w:p>
    <w:p>
      <w:pPr>
        <w:rPr>
          <w:rFonts w:ascii="Times New Roman" w:hAnsi="Times New Roman" w:eastAsia="仿宋" w:cs="Times New Roman"/>
          <w:b/>
          <w:sz w:val="32"/>
          <w:szCs w:val="32"/>
        </w:rPr>
      </w:pPr>
      <w:r>
        <w:rPr>
          <w:rFonts w:ascii="Times New Roman" w:hAnsi="Times New Roman" w:eastAsia="仿宋" w:cs="Times New Roman"/>
          <w:b/>
          <w:sz w:val="32"/>
          <w:szCs w:val="32"/>
        </w:rPr>
        <w:t>3、武进监测站</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武进监测站点位3月降尘值为3.8吨/月·平方公里。其周边加密监测点位降尘浓度在4.0~20.2吨/月·平方公里之间，且均高于国控站点浓度（图4）。其中，绿和环境科技有限公司、何留小学和鸣凰中心小学三个点位降尘浓度超过5吨/月·平方公里标准值。</w:t>
      </w:r>
    </w:p>
    <w:p>
      <w:pPr>
        <w:ind w:firstLine="640" w:firstLineChars="20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3705225" cy="2632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39378" cy="2656513"/>
                    </a:xfrm>
                    <a:prstGeom prst="rect">
                      <a:avLst/>
                    </a:prstGeom>
                    <a:noFill/>
                  </pic:spPr>
                </pic:pic>
              </a:graphicData>
            </a:graphic>
          </wp:inline>
        </w:drawing>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t>图4  武进监测站点位周边3公里加密降尘浓度分布</w:t>
      </w:r>
    </w:p>
    <w:p>
      <w:pPr>
        <w:rPr>
          <w:rFonts w:ascii="Times New Roman" w:hAnsi="Times New Roman" w:eastAsia="仿宋" w:cs="Times New Roman"/>
          <w:b/>
          <w:sz w:val="32"/>
          <w:szCs w:val="32"/>
        </w:rPr>
      </w:pPr>
      <w:r>
        <w:rPr>
          <w:rFonts w:ascii="Times New Roman" w:hAnsi="Times New Roman" w:eastAsia="仿宋" w:cs="Times New Roman"/>
          <w:b/>
          <w:sz w:val="32"/>
          <w:szCs w:val="32"/>
        </w:rPr>
        <w:t>4、经开区</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经开区点位3月降尘值为5.3吨/月·平方公里。其周边加密监测点位降尘浓度在4.2~9.9吨/月·平方公里之间（图4）。其中，东青韦家头、曙兴社区楼顶（二楼）、常丰村委三个点位降尘浓度超过国控站点。仅华阳南路新动力产业园东和潞城公园壹号幼儿园两个点位降尘浓度低于5吨/月·平方公里标准值。</w:t>
      </w:r>
    </w:p>
    <w:p>
      <w:pPr>
        <w:ind w:firstLine="640" w:firstLineChars="200"/>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650105" cy="27940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69376" cy="2805583"/>
                    </a:xfrm>
                    <a:prstGeom prst="rect">
                      <a:avLst/>
                    </a:prstGeom>
                    <a:noFill/>
                  </pic:spPr>
                </pic:pic>
              </a:graphicData>
            </a:graphic>
          </wp:inline>
        </w:drawing>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t>图5  经开区点位周边3公里加密降尘浓度分布</w:t>
      </w:r>
    </w:p>
    <w:p>
      <w:pPr>
        <w:rPr>
          <w:rFonts w:ascii="Times New Roman" w:hAnsi="Times New Roman" w:eastAsia="仿宋" w:cs="Times New Roman"/>
          <w:b/>
          <w:sz w:val="32"/>
          <w:szCs w:val="32"/>
        </w:rPr>
      </w:pPr>
      <w:r>
        <w:rPr>
          <w:rFonts w:ascii="Times New Roman" w:hAnsi="Times New Roman" w:eastAsia="仿宋" w:cs="Times New Roman"/>
          <w:b/>
          <w:sz w:val="32"/>
          <w:szCs w:val="32"/>
        </w:rPr>
        <w:t>5、安家</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安家点位3月降尘值为4.4吨/月·平方公里。其周边加密监测点位降尘浓度为3.8吨/月·平方公里（图4），且低于5吨/月·平方公里标准值。</w:t>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drawing>
          <wp:inline distT="0" distB="0" distL="0" distR="0">
            <wp:extent cx="4122420" cy="3669030"/>
            <wp:effectExtent l="0" t="0" r="0" b="762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58861" cy="3701673"/>
                    </a:xfrm>
                    <a:prstGeom prst="rect">
                      <a:avLst/>
                    </a:prstGeom>
                    <a:noFill/>
                  </pic:spPr>
                </pic:pic>
              </a:graphicData>
            </a:graphic>
          </wp:inline>
        </w:drawing>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t>图6  安家点位周边3公里加密降尘浓度分布</w:t>
      </w:r>
    </w:p>
    <w:p>
      <w:pPr>
        <w:rPr>
          <w:rFonts w:ascii="Times New Roman" w:hAnsi="Times New Roman" w:eastAsia="仿宋" w:cs="Times New Roman"/>
          <w:b/>
          <w:sz w:val="32"/>
          <w:szCs w:val="32"/>
        </w:rPr>
      </w:pPr>
      <w:r>
        <w:rPr>
          <w:rFonts w:ascii="Times New Roman" w:hAnsi="Times New Roman" w:eastAsia="仿宋" w:cs="Times New Roman"/>
          <w:b/>
          <w:sz w:val="32"/>
          <w:szCs w:val="32"/>
        </w:rPr>
        <w:t>6、行政中心</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行政中心点位3月降尘值为4.6吨/月·平方公里。其周边加密监测点位降尘浓度在3.8~19.5吨/月·平方公里之间（图4）。其中，太湖菜场、常州卫校、龙湖社区和青龙中学四个点位降尘浓度超过国控站点。仅丰盛塑料公司、香滨湖幼儿园和北环中心三个点位降尘浓度低于5吨/月·平方公里标准值。</w:t>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drawing>
          <wp:inline distT="0" distB="0" distL="0" distR="0">
            <wp:extent cx="3881755" cy="3402965"/>
            <wp:effectExtent l="0" t="0" r="4445" b="698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91182" cy="3411089"/>
                    </a:xfrm>
                    <a:prstGeom prst="rect">
                      <a:avLst/>
                    </a:prstGeom>
                    <a:noFill/>
                  </pic:spPr>
                </pic:pic>
              </a:graphicData>
            </a:graphic>
          </wp:inline>
        </w:drawing>
      </w:r>
    </w:p>
    <w:p>
      <w:pPr>
        <w:ind w:firstLine="480" w:firstLineChars="200"/>
        <w:jc w:val="center"/>
        <w:rPr>
          <w:rFonts w:ascii="Times New Roman" w:hAnsi="Times New Roman" w:eastAsia="黑体" w:cs="Times New Roman"/>
          <w:sz w:val="24"/>
          <w:szCs w:val="32"/>
        </w:rPr>
      </w:pPr>
      <w:r>
        <w:rPr>
          <w:rFonts w:ascii="Times New Roman" w:hAnsi="Times New Roman" w:eastAsia="黑体" w:cs="Times New Roman"/>
          <w:sz w:val="24"/>
          <w:szCs w:val="32"/>
        </w:rPr>
        <w:t>图7  行政中心点位周边3公里加密降尘浓度分布</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br w:type="page"/>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 xml:space="preserve">附表1  2019年3月网格化降尘监测结果表  </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附表2  2019年3月及1~3月各辖市区降尘监测结果表</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附表3  2019年3月各街道乡镇降尘监测结果表和排名情况</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附表4  2019年1~3月各街道乡镇降尘量平均值排名情况</w:t>
      </w:r>
    </w:p>
    <w:p>
      <w:pPr>
        <w:ind w:firstLine="640" w:firstLineChars="200"/>
        <w:rPr>
          <w:rFonts w:ascii="Times New Roman" w:hAnsi="Times New Roman" w:eastAsia="仿宋" w:cs="Times New Roman"/>
          <w:sz w:val="32"/>
          <w:szCs w:val="32"/>
        </w:rPr>
      </w:pPr>
    </w:p>
    <w:p>
      <w:pPr>
        <w:ind w:firstLine="643" w:firstLineChars="200"/>
        <w:rPr>
          <w:rFonts w:ascii="Times New Roman" w:hAnsi="Times New Roman" w:eastAsia="仿宋" w:cs="Times New Roman"/>
          <w:b/>
          <w:sz w:val="32"/>
          <w:szCs w:val="32"/>
        </w:rPr>
      </w:pPr>
    </w:p>
    <w:p>
      <w:pPr>
        <w:ind w:firstLine="640" w:firstLineChars="200"/>
        <w:rPr>
          <w:rFonts w:ascii="Times New Roman" w:hAnsi="Times New Roman" w:eastAsia="仿宋" w:cs="Times New Roman"/>
          <w:sz w:val="32"/>
          <w:szCs w:val="32"/>
        </w:rPr>
      </w:pPr>
    </w:p>
    <w:p>
      <w:pPr>
        <w:spacing w:line="360" w:lineRule="auto"/>
        <w:ind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江苏省常州环境监测中心</w:t>
      </w:r>
    </w:p>
    <w:p>
      <w:pPr>
        <w:spacing w:line="360" w:lineRule="auto"/>
        <w:ind w:right="420"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2019年4月16日</w:t>
      </w:r>
    </w:p>
    <w:p>
      <w:pPr>
        <w:ind w:firstLine="560" w:firstLineChars="200"/>
        <w:rPr>
          <w:rFonts w:ascii="Times New Roman" w:hAnsi="Times New Roman" w:cs="Times New Roman"/>
          <w:sz w:val="28"/>
        </w:rPr>
      </w:pPr>
    </w:p>
    <w:p>
      <w:pPr>
        <w:snapToGrid w:val="0"/>
        <w:spacing w:line="360" w:lineRule="auto"/>
        <w:ind w:firstLine="480" w:firstLineChars="200"/>
        <w:jc w:val="center"/>
        <w:rPr>
          <w:rFonts w:ascii="Times New Roman" w:hAnsi="Times New Roman" w:eastAsia="黑体" w:cs="Times New Roman"/>
          <w:sz w:val="24"/>
        </w:rPr>
      </w:pPr>
      <w:r>
        <w:rPr>
          <w:rFonts w:ascii="Times New Roman" w:hAnsi="Times New Roman" w:eastAsia="黑体" w:cs="Times New Roman"/>
          <w:sz w:val="24"/>
        </w:rPr>
        <w:br w:type="page"/>
      </w:r>
    </w:p>
    <w:p>
      <w:pPr>
        <w:snapToGrid w:val="0"/>
        <w:spacing w:before="156" w:beforeLines="50"/>
        <w:ind w:firstLine="480" w:firstLineChars="200"/>
        <w:jc w:val="left"/>
        <w:rPr>
          <w:rFonts w:ascii="Times New Roman" w:hAnsi="Times New Roman" w:eastAsia="黑体" w:cs="Times New Roman"/>
          <w:sz w:val="24"/>
        </w:rPr>
      </w:pPr>
      <w:r>
        <w:rPr>
          <w:rFonts w:ascii="Times New Roman" w:hAnsi="Times New Roman" w:eastAsia="黑体" w:cs="Times New Roman"/>
          <w:sz w:val="24"/>
        </w:rPr>
        <w:t xml:space="preserve">附表1      2019年3月网格化降尘监测结果表 </w:t>
      </w:r>
      <w:r>
        <w:rPr>
          <w:rFonts w:ascii="Times New Roman" w:hAnsi="Times New Roman" w:eastAsia="黑体" w:cs="Times New Roman"/>
          <w:sz w:val="22"/>
        </w:rPr>
        <w:t xml:space="preserve">  单位：</w:t>
      </w:r>
      <w:r>
        <w:rPr>
          <w:rFonts w:ascii="Times New Roman" w:hAnsi="Times New Roman" w:eastAsia="宋体" w:cs="Times New Roman"/>
          <w:color w:val="000000"/>
          <w:kern w:val="0"/>
          <w:sz w:val="18"/>
          <w:szCs w:val="21"/>
        </w:rPr>
        <w:t>t/（km</w:t>
      </w:r>
      <w:r>
        <w:rPr>
          <w:rFonts w:ascii="Times New Roman" w:hAnsi="Times New Roman" w:eastAsia="宋体" w:cs="Times New Roman"/>
          <w:color w:val="000000"/>
          <w:kern w:val="0"/>
          <w:sz w:val="18"/>
          <w:szCs w:val="21"/>
          <w:vertAlign w:val="superscript"/>
        </w:rPr>
        <w:t>2</w:t>
      </w:r>
      <w:r>
        <w:rPr>
          <w:rFonts w:ascii="Times New Roman" w:hAnsi="Times New Roman" w:eastAsia="宋体" w:cs="Times New Roman"/>
          <w:color w:val="000000"/>
          <w:kern w:val="0"/>
          <w:sz w:val="18"/>
          <w:szCs w:val="21"/>
        </w:rPr>
        <w:t>·30d）</w:t>
      </w:r>
    </w:p>
    <w:tbl>
      <w:tblPr>
        <w:tblStyle w:val="5"/>
        <w:tblW w:w="9628" w:type="dxa"/>
        <w:jc w:val="center"/>
        <w:tblInd w:w="0" w:type="dxa"/>
        <w:tblLayout w:type="fixed"/>
        <w:tblCellMar>
          <w:top w:w="0" w:type="dxa"/>
          <w:left w:w="108" w:type="dxa"/>
          <w:bottom w:w="0" w:type="dxa"/>
          <w:right w:w="108" w:type="dxa"/>
        </w:tblCellMar>
      </w:tblPr>
      <w:tblGrid>
        <w:gridCol w:w="823"/>
        <w:gridCol w:w="1153"/>
        <w:gridCol w:w="3119"/>
        <w:gridCol w:w="1479"/>
        <w:gridCol w:w="1488"/>
        <w:gridCol w:w="1566"/>
      </w:tblGrid>
      <w:tr>
        <w:tblPrEx>
          <w:tblLayout w:type="fixed"/>
          <w:tblCellMar>
            <w:top w:w="0" w:type="dxa"/>
            <w:left w:w="108" w:type="dxa"/>
            <w:bottom w:w="0" w:type="dxa"/>
            <w:right w:w="108" w:type="dxa"/>
          </w:tblCellMar>
        </w:tblPrEx>
        <w:trPr>
          <w:trHeight w:val="570" w:hRule="atLeast"/>
          <w:tblHeader/>
          <w:jc w:val="center"/>
        </w:trPr>
        <w:tc>
          <w:tcPr>
            <w:tcW w:w="823"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序号</w:t>
            </w:r>
          </w:p>
        </w:tc>
        <w:tc>
          <w:tcPr>
            <w:tcW w:w="1153" w:type="dxa"/>
            <w:tcBorders>
              <w:top w:val="single" w:color="auto" w:sz="4" w:space="0"/>
              <w:left w:val="nil"/>
              <w:bottom w:val="single" w:color="auto" w:sz="4" w:space="0"/>
              <w:right w:val="single" w:color="auto" w:sz="4" w:space="0"/>
            </w:tcBorders>
            <w:shd w:val="clear" w:color="000000" w:fill="D9D9D9"/>
            <w:noWrap/>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辖区</w:t>
            </w:r>
          </w:p>
        </w:tc>
        <w:tc>
          <w:tcPr>
            <w:tcW w:w="3119" w:type="dxa"/>
            <w:tcBorders>
              <w:top w:val="single" w:color="auto" w:sz="4" w:space="0"/>
              <w:left w:val="nil"/>
              <w:bottom w:val="single" w:color="auto" w:sz="4" w:space="0"/>
              <w:right w:val="single" w:color="auto" w:sz="4" w:space="0"/>
            </w:tcBorders>
            <w:shd w:val="clear" w:color="000000" w:fill="D9D9D9"/>
            <w:noWrap/>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布设地点</w:t>
            </w:r>
          </w:p>
        </w:tc>
        <w:tc>
          <w:tcPr>
            <w:tcW w:w="1479" w:type="dxa"/>
            <w:tcBorders>
              <w:top w:val="single" w:color="auto" w:sz="4" w:space="0"/>
              <w:left w:val="nil"/>
              <w:bottom w:val="single" w:color="auto" w:sz="4" w:space="0"/>
              <w:right w:val="single" w:color="auto" w:sz="4" w:space="0"/>
            </w:tcBorders>
            <w:shd w:val="clear" w:color="000000" w:fill="D9D9D9"/>
            <w:noWrap/>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所属街道</w:t>
            </w:r>
          </w:p>
        </w:tc>
        <w:tc>
          <w:tcPr>
            <w:tcW w:w="1488" w:type="dxa"/>
            <w:tcBorders>
              <w:top w:val="single" w:color="auto" w:sz="4" w:space="0"/>
              <w:left w:val="nil"/>
              <w:bottom w:val="single" w:color="auto" w:sz="4" w:space="0"/>
              <w:right w:val="single" w:color="auto" w:sz="4" w:space="0"/>
            </w:tcBorders>
            <w:shd w:val="clear" w:color="000000" w:fill="D9D9D9"/>
            <w:noWrap/>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监测结果</w:t>
            </w:r>
          </w:p>
        </w:tc>
        <w:tc>
          <w:tcPr>
            <w:tcW w:w="1566" w:type="dxa"/>
            <w:tcBorders>
              <w:top w:val="single" w:color="auto" w:sz="4" w:space="0"/>
              <w:left w:val="nil"/>
              <w:bottom w:val="single" w:color="auto" w:sz="4" w:space="0"/>
              <w:right w:val="single" w:color="auto" w:sz="4" w:space="0"/>
            </w:tcBorders>
            <w:shd w:val="clear" w:color="000000" w:fill="D9D9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备注</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新闸科技园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新闸街道</w:t>
            </w:r>
          </w:p>
        </w:tc>
        <w:tc>
          <w:tcPr>
            <w:tcW w:w="148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北师大附中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新闸街道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龙城粮油有限公司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新闸街道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华中建筑</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卜弋卫生院</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邹区镇文体活动中心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邹区镇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枫逸人家幼儿园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北港街道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运河之星幼儿园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北港街道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宝龙中心幼儿园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北港街道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星悦花都售楼处</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五星街道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五星智造园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五星街道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西市河泵站</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荷花池街道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荆川小学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永红街道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钟楼区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西林小学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西林街道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桃园路7号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北环中学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红梅街道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常州卫校</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红梅街道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常州老年大学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兰陵街道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勤丰村委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茶山街道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雕庄街道办事处</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雕庄街道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朝阳花园社区</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雕庄街道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黄河路</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青龙苑北区</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龙湖社区</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华阳南路新动力产业园东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青龙市政产业基地北</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青龙街道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29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泥河桥村委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郑陆镇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花园村</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郑陆镇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东青韦家头</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郑陆镇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天宁区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施家巷村委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郑陆镇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芙蓉村委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横山桥镇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横山桥镇政府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横山桥镇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省庄村委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横山桥镇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文体中心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横山桥镇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狄坂村委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横林镇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红联村委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横林镇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39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双蓉村委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横林镇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曙兴社区楼顶（二楼）</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潞城街道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潞城公园壹号幼儿园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潞城街道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东方创新园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潞城街道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常丰村委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丁堰街道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戚机厂北厂</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丁堰街道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丁堰街道梅港村委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丁堰街道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中车大学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戚墅堰街道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新南村委宣家村57号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宋剑湖家园（洪庄村委）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49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钱家村委曹塘村绿观园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遥观镇政府以西</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遥观村下梅桥</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渔庄村委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建农村委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经开区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剑湖村委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遥观镇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百世物流（小松）</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桑尼尼（富世华）</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10.0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叶家村委（春江路）</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暂停监测</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企业投资服务中心（黄河西路268号）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59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怡景名园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生物医药产业园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常欣工业园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丁家村委会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吕墅中学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嘉民物流</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薛家镇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暂停监测</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太湖菜场</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三井街道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19.5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香滨湖幼儿园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三井街道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三晶科技园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三井街道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行政中心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三井街道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69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丰盛塑料公司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三井街道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月星家具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龙虎塘街道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新北区革命烈士纪念碑</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龙虎塘街道</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新桥高级中学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新桥实验小学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新桥镇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没水</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汤庄小学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罗溪镇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罗溪中学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罗溪镇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龙珠山寺</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罗溪镇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浦河实验学校</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西夏墅镇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西夏墅中学（小学）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西夏墅镇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79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奔牛初级中学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奔牛镇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九里幼儿园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奔牛镇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没水</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孟河实验小学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孟河镇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孟城中学（小学）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孟河镇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良旭车业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孟河镇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13.6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长江冲压件公司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春江镇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安家管理中心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春江镇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滨江中学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春江镇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魏村中学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春江镇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新北区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圩塘标准工业园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春江镇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89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礼嘉镇政府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礼嘉镇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礼嘉中学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礼嘉镇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吉丹洗涤剂有限公司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礼嘉镇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洛阳镇政府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洛阳镇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13.5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洛阳高级中学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洛阳镇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谈家头村委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洛阳镇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潘家小学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雪堰镇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新康村委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雪堰镇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雪堰中学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雪堰镇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竺山湖</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雪堰镇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99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牛塘交管所</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厚恕西街43号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丫河村幼儿园（老村委）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漕溪浜枢纽工程</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常州天牛塑料厂内</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常州市矿杰风动水泵有限公司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常州中盈空调器配件有限公司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没水</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牛塘白家村委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牛塘镇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蒋公岸居民委员会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淹城铁血春秋</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109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何留小学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8.1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江村居民委员会旁佳骏纺织</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三勤居民委员会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高力汽博城</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没水</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武进区疾控中心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r>
              <w:rPr>
                <w:rFonts w:ascii="Times New Roman" w:hAnsi="Times New Roman" w:eastAsia="仿宋" w:cs="Times New Roman"/>
              </w:rPr>
              <w:t>有死鸟</w:t>
            </w: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鸣凰中心小学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湖塘镇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半陶山庄</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西太湖</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礼河幼儿园</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西太湖</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明都国际会议中心</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西太湖</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2.8</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揽月湾</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西太湖</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119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南北十字河北闸站</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西太湖</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夏溪初级中学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嘉泽镇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成章中心小学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嘉泽镇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东方特钢</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湟里镇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湟里镇东安村</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湟里镇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湟里镇政府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湟里镇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江苏绿和环境科技有限公司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20.2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万塔工业园13幢东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5.5</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滆湖疗养院</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南夏墅新市民小学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129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常州市九华标牌有限公司对面新联村村委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13.0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消防中队</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南夏墅</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凤墅工业园新辉路12号</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6.4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132</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高新区管委会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10.0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133</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武南创智天地</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5.3</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134</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常州恒绿花木有限公司</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135</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常州科教城管委会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3.7</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136</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江苏省前黄高级中学</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137</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龚家社区居委会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4.9</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138</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马杭社区居委会</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高新区</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7.6</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139</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祝庄村村委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前黄镇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5.1</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140</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杨桥村村委</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前黄镇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4.2</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r>
        <w:tblPrEx>
          <w:tblLayout w:type="fixed"/>
          <w:tblCellMar>
            <w:top w:w="0" w:type="dxa"/>
            <w:left w:w="108" w:type="dxa"/>
            <w:bottom w:w="0" w:type="dxa"/>
            <w:right w:w="108" w:type="dxa"/>
          </w:tblCellMar>
        </w:tblPrEx>
        <w:trPr>
          <w:trHeight w:val="300" w:hRule="atLeast"/>
          <w:jc w:val="center"/>
        </w:trPr>
        <w:tc>
          <w:tcPr>
            <w:tcW w:w="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141</w:t>
            </w:r>
          </w:p>
        </w:tc>
        <w:tc>
          <w:tcPr>
            <w:tcW w:w="1153"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武进区</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前黄镇政府</w:t>
            </w:r>
          </w:p>
        </w:tc>
        <w:tc>
          <w:tcPr>
            <w:tcW w:w="147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前黄镇</w:t>
            </w:r>
          </w:p>
        </w:tc>
        <w:tc>
          <w:tcPr>
            <w:tcW w:w="148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仿宋" w:cs="Times New Roman"/>
              </w:rPr>
            </w:pPr>
            <w:r>
              <w:rPr>
                <w:rFonts w:ascii="Times New Roman" w:hAnsi="Times New Roman" w:eastAsia="仿宋" w:cs="Times New Roman"/>
              </w:rPr>
              <w:t>9.4</w:t>
            </w:r>
          </w:p>
        </w:tc>
        <w:tc>
          <w:tcPr>
            <w:tcW w:w="1566" w:type="dxa"/>
            <w:tcBorders>
              <w:top w:val="nil"/>
              <w:left w:val="nil"/>
              <w:bottom w:val="single" w:color="auto" w:sz="4" w:space="0"/>
              <w:right w:val="single" w:color="auto" w:sz="4" w:space="0"/>
            </w:tcBorders>
            <w:vAlign w:val="center"/>
          </w:tcPr>
          <w:p>
            <w:pPr>
              <w:jc w:val="center"/>
              <w:rPr>
                <w:rFonts w:ascii="Times New Roman" w:hAnsi="Times New Roman" w:eastAsia="仿宋" w:cs="Times New Roman"/>
              </w:rPr>
            </w:pPr>
          </w:p>
        </w:tc>
      </w:tr>
    </w:tbl>
    <w:p>
      <w:pPr>
        <w:snapToGrid w:val="0"/>
        <w:spacing w:line="360" w:lineRule="auto"/>
        <w:ind w:firstLine="420" w:firstLineChars="200"/>
        <w:rPr>
          <w:rFonts w:ascii="Times New Roman" w:hAnsi="Times New Roman" w:cs="Times New Roman"/>
        </w:rPr>
      </w:pPr>
      <w:r>
        <w:rPr>
          <w:rFonts w:ascii="Times New Roman" w:hAnsi="Times New Roman" w:cs="Times New Roman"/>
        </w:rPr>
        <w:t>注：异常数据统计时已剔除。</w:t>
      </w:r>
    </w:p>
    <w:p>
      <w:pPr>
        <w:snapToGrid w:val="0"/>
        <w:spacing w:line="360" w:lineRule="auto"/>
        <w:ind w:firstLine="360" w:firstLineChars="200"/>
        <w:rPr>
          <w:rFonts w:ascii="Times New Roman" w:hAnsi="Times New Roman" w:cs="Times New Roman"/>
          <w:sz w:val="18"/>
        </w:rPr>
      </w:pPr>
    </w:p>
    <w:p>
      <w:pPr>
        <w:snapToGrid w:val="0"/>
        <w:spacing w:line="360" w:lineRule="auto"/>
        <w:ind w:firstLine="480" w:firstLineChars="200"/>
        <w:jc w:val="left"/>
        <w:rPr>
          <w:rFonts w:ascii="Times New Roman" w:hAnsi="Times New Roman" w:eastAsia="黑体" w:cs="Times New Roman"/>
          <w:sz w:val="24"/>
        </w:rPr>
      </w:pPr>
      <w:r>
        <w:rPr>
          <w:rFonts w:ascii="Times New Roman" w:hAnsi="Times New Roman" w:eastAsia="黑体" w:cs="Times New Roman"/>
          <w:sz w:val="24"/>
        </w:rPr>
        <w:t xml:space="preserve">附表2    2019年3月及1~3月各辖市区降尘监测结果表   </w:t>
      </w:r>
      <w:r>
        <w:rPr>
          <w:rFonts w:ascii="Times New Roman" w:hAnsi="Times New Roman" w:eastAsia="黑体" w:cs="Times New Roman"/>
          <w:sz w:val="22"/>
        </w:rPr>
        <w:t>单位：</w:t>
      </w:r>
      <w:r>
        <w:rPr>
          <w:rFonts w:ascii="Times New Roman" w:hAnsi="Times New Roman" w:eastAsia="宋体" w:cs="Times New Roman"/>
          <w:color w:val="000000"/>
          <w:kern w:val="0"/>
          <w:sz w:val="18"/>
          <w:szCs w:val="21"/>
        </w:rPr>
        <w:t>t/（km</w:t>
      </w:r>
      <w:r>
        <w:rPr>
          <w:rFonts w:ascii="Times New Roman" w:hAnsi="Times New Roman" w:eastAsia="宋体" w:cs="Times New Roman"/>
          <w:color w:val="000000"/>
          <w:kern w:val="0"/>
          <w:sz w:val="18"/>
          <w:szCs w:val="21"/>
          <w:vertAlign w:val="superscript"/>
        </w:rPr>
        <w:t>2</w:t>
      </w:r>
      <w:r>
        <w:rPr>
          <w:rFonts w:ascii="Times New Roman" w:hAnsi="Times New Roman" w:eastAsia="宋体" w:cs="Times New Roman"/>
          <w:color w:val="000000"/>
          <w:kern w:val="0"/>
          <w:sz w:val="18"/>
          <w:szCs w:val="21"/>
        </w:rPr>
        <w:t>·30d）</w:t>
      </w:r>
    </w:p>
    <w:tbl>
      <w:tblPr>
        <w:tblStyle w:val="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1382"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辖区</w:t>
            </w:r>
          </w:p>
        </w:tc>
        <w:tc>
          <w:tcPr>
            <w:tcW w:w="1382"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钟楼区</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天宁区</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经开区</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新北区</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武进区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382" w:type="dxa"/>
            <w:vAlign w:val="center"/>
          </w:tcPr>
          <w:p>
            <w:pPr>
              <w:snapToGrid w:val="0"/>
              <w:jc w:val="center"/>
              <w:rPr>
                <w:rFonts w:ascii="Times New Roman" w:hAnsi="Times New Roman" w:cs="Times New Roman"/>
                <w:szCs w:val="21"/>
              </w:rPr>
            </w:pPr>
            <w:r>
              <w:rPr>
                <w:rFonts w:ascii="Times New Roman" w:hAnsi="Times New Roman" w:cs="Times New Roman"/>
                <w:szCs w:val="21"/>
              </w:rPr>
              <w:t>当月降尘量</w:t>
            </w:r>
          </w:p>
        </w:tc>
        <w:tc>
          <w:tcPr>
            <w:tcW w:w="1382" w:type="dxa"/>
            <w:vAlign w:val="center"/>
          </w:tcPr>
          <w:p>
            <w:pPr>
              <w:widowControl/>
              <w:jc w:val="center"/>
              <w:rPr>
                <w:rFonts w:ascii="Times New Roman" w:hAnsi="Times New Roman" w:cs="Times New Roman"/>
                <w:color w:val="000000"/>
                <w:sz w:val="22"/>
              </w:rPr>
            </w:pPr>
            <w:r>
              <w:rPr>
                <w:rFonts w:ascii="Times New Roman" w:hAnsi="Times New Roman" w:cs="Times New Roman"/>
                <w:color w:val="000000"/>
                <w:sz w:val="22"/>
              </w:rPr>
              <w:t>5.14</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5.40</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5.95</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6.61</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382" w:type="dxa"/>
            <w:vAlign w:val="center"/>
          </w:tcPr>
          <w:p>
            <w:pPr>
              <w:snapToGrid w:val="0"/>
              <w:jc w:val="center"/>
              <w:rPr>
                <w:rFonts w:ascii="Times New Roman" w:hAnsi="Times New Roman" w:cs="Times New Roman"/>
                <w:szCs w:val="21"/>
              </w:rPr>
            </w:pPr>
            <w:r>
              <w:rPr>
                <w:rFonts w:ascii="Times New Roman" w:hAnsi="Times New Roman" w:cs="Times New Roman"/>
                <w:szCs w:val="21"/>
              </w:rPr>
              <w:t>平均降尘量</w:t>
            </w:r>
          </w:p>
        </w:tc>
        <w:tc>
          <w:tcPr>
            <w:tcW w:w="1382" w:type="dxa"/>
            <w:vAlign w:val="center"/>
          </w:tcPr>
          <w:p>
            <w:pPr>
              <w:widowControl/>
              <w:jc w:val="center"/>
              <w:rPr>
                <w:rFonts w:ascii="Times New Roman" w:hAnsi="Times New Roman" w:cs="Times New Roman"/>
                <w:color w:val="000000"/>
                <w:sz w:val="22"/>
              </w:rPr>
            </w:pPr>
            <w:r>
              <w:rPr>
                <w:rFonts w:ascii="Times New Roman" w:hAnsi="Times New Roman" w:cs="Times New Roman"/>
                <w:color w:val="000000"/>
                <w:sz w:val="22"/>
              </w:rPr>
              <w:t>5.50</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5.61</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5.65</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5.86</w:t>
            </w:r>
          </w:p>
        </w:tc>
        <w:tc>
          <w:tcPr>
            <w:tcW w:w="1383" w:type="dxa"/>
            <w:vAlign w:val="center"/>
          </w:tcPr>
          <w:p>
            <w:pPr>
              <w:jc w:val="center"/>
              <w:rPr>
                <w:rFonts w:ascii="Times New Roman" w:hAnsi="Times New Roman" w:cs="Times New Roman"/>
                <w:color w:val="000000"/>
                <w:sz w:val="22"/>
              </w:rPr>
            </w:pPr>
            <w:r>
              <w:rPr>
                <w:rFonts w:ascii="Times New Roman" w:hAnsi="Times New Roman" w:cs="Times New Roman"/>
                <w:color w:val="000000"/>
                <w:sz w:val="22"/>
              </w:rPr>
              <w:t>5.84</w:t>
            </w:r>
          </w:p>
        </w:tc>
      </w:tr>
    </w:tbl>
    <w:p>
      <w:pPr>
        <w:snapToGrid w:val="0"/>
        <w:spacing w:line="360" w:lineRule="auto"/>
        <w:ind w:firstLine="480" w:firstLineChars="200"/>
        <w:jc w:val="left"/>
        <w:rPr>
          <w:rFonts w:ascii="Times New Roman" w:hAnsi="Times New Roman" w:eastAsia="黑体" w:cs="Times New Roman"/>
          <w:sz w:val="24"/>
        </w:rPr>
      </w:pPr>
    </w:p>
    <w:p>
      <w:pPr>
        <w:widowControl/>
        <w:jc w:val="left"/>
        <w:rPr>
          <w:rFonts w:ascii="Times New Roman" w:hAnsi="Times New Roman" w:eastAsia="黑体" w:cs="Times New Roman"/>
          <w:sz w:val="24"/>
        </w:rPr>
      </w:pPr>
      <w:r>
        <w:rPr>
          <w:rFonts w:ascii="Times New Roman" w:hAnsi="Times New Roman" w:eastAsia="黑体" w:cs="Times New Roman"/>
          <w:sz w:val="24"/>
        </w:rPr>
        <w:br w:type="page"/>
      </w:r>
    </w:p>
    <w:p>
      <w:pPr>
        <w:snapToGrid w:val="0"/>
        <w:spacing w:line="360" w:lineRule="auto"/>
        <w:jc w:val="center"/>
        <w:rPr>
          <w:rFonts w:ascii="Times New Roman" w:hAnsi="Times New Roman" w:eastAsia="黑体" w:cs="Times New Roman"/>
          <w:sz w:val="24"/>
        </w:rPr>
      </w:pPr>
      <w:r>
        <w:rPr>
          <w:rFonts w:ascii="Times New Roman" w:hAnsi="Times New Roman" w:eastAsia="黑体" w:cs="Times New Roman"/>
          <w:sz w:val="24"/>
        </w:rPr>
        <w:t>附表3      2019年3月各街道乡镇降尘监测结果表和排名情况</w:t>
      </w:r>
    </w:p>
    <w:p>
      <w:pPr>
        <w:snapToGrid w:val="0"/>
        <w:spacing w:line="360" w:lineRule="auto"/>
        <w:jc w:val="center"/>
        <w:rPr>
          <w:rFonts w:ascii="Times New Roman" w:hAnsi="Times New Roman" w:eastAsia="宋体" w:cs="Times New Roman"/>
          <w:color w:val="000000"/>
          <w:kern w:val="0"/>
          <w:sz w:val="18"/>
          <w:szCs w:val="21"/>
        </w:rPr>
      </w:pPr>
      <w:r>
        <w:rPr>
          <w:rFonts w:ascii="Times New Roman" w:hAnsi="Times New Roman" w:eastAsia="黑体" w:cs="Times New Roman"/>
          <w:sz w:val="22"/>
        </w:rPr>
        <w:t>单位：</w:t>
      </w:r>
      <w:r>
        <w:rPr>
          <w:rFonts w:ascii="Times New Roman" w:hAnsi="Times New Roman" w:eastAsia="宋体" w:cs="Times New Roman"/>
          <w:color w:val="000000"/>
          <w:kern w:val="0"/>
          <w:sz w:val="18"/>
          <w:szCs w:val="21"/>
        </w:rPr>
        <w:t>t/（km</w:t>
      </w:r>
      <w:r>
        <w:rPr>
          <w:rFonts w:ascii="Times New Roman" w:hAnsi="Times New Roman" w:eastAsia="宋体" w:cs="Times New Roman"/>
          <w:color w:val="000000"/>
          <w:kern w:val="0"/>
          <w:sz w:val="18"/>
          <w:szCs w:val="21"/>
          <w:vertAlign w:val="superscript"/>
        </w:rPr>
        <w:t>2</w:t>
      </w:r>
      <w:r>
        <w:rPr>
          <w:rFonts w:ascii="Times New Roman" w:hAnsi="Times New Roman" w:eastAsia="宋体" w:cs="Times New Roman"/>
          <w:color w:val="000000"/>
          <w:kern w:val="0"/>
          <w:sz w:val="18"/>
          <w:szCs w:val="21"/>
        </w:rPr>
        <w:t>·30d）</w:t>
      </w:r>
    </w:p>
    <w:tbl>
      <w:tblPr>
        <w:tblStyle w:val="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417"/>
        <w:gridCol w:w="851"/>
        <w:gridCol w:w="850"/>
        <w:gridCol w:w="851"/>
        <w:gridCol w:w="1682"/>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辖区</w:t>
            </w:r>
          </w:p>
        </w:tc>
        <w:tc>
          <w:tcPr>
            <w:tcW w:w="709"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排名</w:t>
            </w:r>
          </w:p>
        </w:tc>
        <w:tc>
          <w:tcPr>
            <w:tcW w:w="1417"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街道乡镇</w:t>
            </w:r>
          </w:p>
        </w:tc>
        <w:tc>
          <w:tcPr>
            <w:tcW w:w="851"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降尘量</w:t>
            </w:r>
          </w:p>
        </w:tc>
        <w:tc>
          <w:tcPr>
            <w:tcW w:w="850"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辖区</w:t>
            </w:r>
          </w:p>
        </w:tc>
        <w:tc>
          <w:tcPr>
            <w:tcW w:w="851"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排名</w:t>
            </w:r>
          </w:p>
        </w:tc>
        <w:tc>
          <w:tcPr>
            <w:tcW w:w="1682"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街道乡镇</w:t>
            </w:r>
          </w:p>
        </w:tc>
        <w:tc>
          <w:tcPr>
            <w:tcW w:w="1090" w:type="dxa"/>
            <w:shd w:val="clear" w:color="auto" w:fill="D8D8D8" w:themeFill="background1" w:themeFillShade="D9"/>
            <w:vAlign w:val="center"/>
          </w:tcPr>
          <w:p>
            <w:pPr>
              <w:spacing w:line="360" w:lineRule="auto"/>
              <w:jc w:val="center"/>
              <w:rPr>
                <w:rFonts w:ascii="Times New Roman" w:hAnsi="Times New Roman" w:eastAsia="黑体" w:cs="Times New Roman"/>
                <w:b/>
                <w:szCs w:val="21"/>
              </w:rPr>
            </w:pPr>
            <w:r>
              <w:rPr>
                <w:rFonts w:ascii="Times New Roman" w:hAnsi="Times New Roman" w:eastAsia="黑体" w:cs="Times New Roman"/>
                <w:b/>
                <w:szCs w:val="21"/>
              </w:rPr>
              <w:t>降尘量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钟楼区</w:t>
            </w: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9</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新闸街道</w:t>
            </w:r>
          </w:p>
        </w:tc>
        <w:tc>
          <w:tcPr>
            <w:tcW w:w="851" w:type="dxa"/>
            <w:vAlign w:val="center"/>
          </w:tcPr>
          <w:p>
            <w:pPr>
              <w:widowControl/>
              <w:jc w:val="center"/>
              <w:rPr>
                <w:rFonts w:ascii="Times New Roman" w:hAnsi="Times New Roman" w:cs="Times New Roman"/>
                <w:color w:val="9C0006"/>
                <w:sz w:val="20"/>
                <w:szCs w:val="20"/>
              </w:rPr>
            </w:pPr>
            <w:r>
              <w:rPr>
                <w:rFonts w:ascii="Times New Roman" w:hAnsi="Times New Roman" w:cs="Times New Roman"/>
                <w:color w:val="9C0006"/>
                <w:sz w:val="20"/>
                <w:szCs w:val="20"/>
              </w:rPr>
              <w:t>4.53</w:t>
            </w:r>
          </w:p>
        </w:tc>
        <w:tc>
          <w:tcPr>
            <w:tcW w:w="850" w:type="dxa"/>
            <w:vMerge w:val="restart"/>
            <w:vAlign w:val="center"/>
          </w:tcPr>
          <w:p>
            <w:pPr>
              <w:spacing w:line="360" w:lineRule="auto"/>
              <w:jc w:val="center"/>
              <w:rPr>
                <w:rFonts w:ascii="Times New Roman" w:hAnsi="Times New Roman" w:cs="Times New Roman"/>
              </w:rPr>
            </w:pPr>
            <w:r>
              <w:rPr>
                <w:rFonts w:ascii="Times New Roman" w:hAnsi="Times New Roman" w:cs="Times New Roman"/>
              </w:rPr>
              <w:t>新北区</w:t>
            </w: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29</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薛家镇</w:t>
            </w:r>
          </w:p>
        </w:tc>
        <w:tc>
          <w:tcPr>
            <w:tcW w:w="1090" w:type="dxa"/>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14</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邹区镇</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4.98</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35</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三井街道</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5</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北港街道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4.07</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龙虎塘街道</w:t>
            </w:r>
          </w:p>
        </w:tc>
        <w:tc>
          <w:tcPr>
            <w:tcW w:w="1090"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37</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五星街道</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7.90</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22</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新桥镇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33</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荷花池街道</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7.34</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36</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罗溪镇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4</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永红街道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3.84</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34</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西夏墅镇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pacing w:line="360" w:lineRule="auto"/>
              <w:jc w:val="center"/>
              <w:rPr>
                <w:rFonts w:ascii="Times New Roman" w:hAnsi="Times New Roman" w:cs="Times New Roman"/>
                <w:szCs w:val="21"/>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7</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西林街道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4.39</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30</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奔牛镇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restart"/>
            <w:vAlign w:val="center"/>
          </w:tcPr>
          <w:p>
            <w:pPr>
              <w:snapToGrid w:val="0"/>
              <w:spacing w:line="360" w:lineRule="auto"/>
              <w:jc w:val="left"/>
              <w:rPr>
                <w:rFonts w:ascii="Times New Roman" w:hAnsi="Times New Roman" w:cs="Times New Roman"/>
                <w:sz w:val="24"/>
              </w:rPr>
            </w:pPr>
            <w:r>
              <w:rPr>
                <w:rFonts w:ascii="Times New Roman" w:hAnsi="Times New Roman" w:cs="Times New Roman"/>
                <w:szCs w:val="21"/>
              </w:rPr>
              <w:t>天宁区</w:t>
            </w: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25</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天宁街道</w:t>
            </w:r>
          </w:p>
        </w:tc>
        <w:tc>
          <w:tcPr>
            <w:tcW w:w="851" w:type="dxa"/>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5.92</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39</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孟河镇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26</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红梅街道</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6.07</w:t>
            </w:r>
          </w:p>
        </w:tc>
        <w:tc>
          <w:tcPr>
            <w:tcW w:w="850" w:type="dxa"/>
            <w:vMerge w:val="continue"/>
            <w:vAlign w:val="center"/>
          </w:tcPr>
          <w:p>
            <w:pPr>
              <w:spacing w:line="360" w:lineRule="auto"/>
              <w:jc w:val="center"/>
              <w:rPr>
                <w:rFonts w:ascii="Times New Roman" w:hAnsi="Times New Roman" w:cs="Times New Roman"/>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13</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春江镇</w:t>
            </w:r>
          </w:p>
        </w:tc>
        <w:tc>
          <w:tcPr>
            <w:tcW w:w="1090"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兰陵街道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3.49</w:t>
            </w:r>
          </w:p>
        </w:tc>
        <w:tc>
          <w:tcPr>
            <w:tcW w:w="850" w:type="dxa"/>
            <w:vMerge w:val="restart"/>
            <w:vAlign w:val="center"/>
          </w:tcPr>
          <w:p>
            <w:pPr>
              <w:spacing w:line="360" w:lineRule="auto"/>
              <w:jc w:val="center"/>
              <w:rPr>
                <w:rFonts w:ascii="Times New Roman" w:hAnsi="Times New Roman" w:cs="Times New Roman"/>
              </w:rPr>
            </w:pPr>
            <w:r>
              <w:rPr>
                <w:rFonts w:ascii="Times New Roman" w:hAnsi="Times New Roman" w:cs="Times New Roman"/>
              </w:rPr>
              <w:t>武进区</w:t>
            </w: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6</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礼嘉镇</w:t>
            </w:r>
          </w:p>
        </w:tc>
        <w:tc>
          <w:tcPr>
            <w:tcW w:w="1090" w:type="dxa"/>
            <w:vAlign w:val="center"/>
          </w:tcPr>
          <w:p>
            <w:pPr>
              <w:widowControl/>
              <w:jc w:val="center"/>
              <w:rPr>
                <w:rFonts w:ascii="Times New Roman" w:hAnsi="Times New Roman" w:cs="Times New Roman"/>
                <w:color w:val="9C0006"/>
                <w:sz w:val="20"/>
                <w:szCs w:val="20"/>
              </w:rPr>
            </w:pPr>
            <w:r>
              <w:rPr>
                <w:rFonts w:ascii="Times New Roman" w:hAnsi="Times New Roman" w:cs="Times New Roman"/>
                <w:color w:val="9C0006"/>
                <w:sz w:val="20"/>
                <w:szCs w:val="20"/>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3</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茶山街道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3.81</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38</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洛阳镇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10</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雕庄街道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4.56</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8</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雪堰镇</w:t>
            </w:r>
          </w:p>
        </w:tc>
        <w:tc>
          <w:tcPr>
            <w:tcW w:w="1090"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12</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青龙街道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4.71</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24</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牛塘镇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vAlign w:val="center"/>
          </w:tcPr>
          <w:p>
            <w:pPr>
              <w:snapToGrid w:val="0"/>
              <w:spacing w:line="360" w:lineRule="auto"/>
              <w:jc w:val="left"/>
              <w:rPr>
                <w:rFonts w:ascii="Times New Roman" w:hAnsi="Times New Roman"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32</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郑陆镇</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7.28</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28</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湖塘镇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restart"/>
            <w:vAlign w:val="center"/>
          </w:tcPr>
          <w:p>
            <w:pPr>
              <w:spacing w:line="360" w:lineRule="auto"/>
              <w:jc w:val="center"/>
              <w:rPr>
                <w:rFonts w:ascii="Times New Roman" w:hAnsi="Times New Roman" w:cs="Times New Roman"/>
                <w:sz w:val="24"/>
              </w:rPr>
            </w:pPr>
            <w:r>
              <w:rPr>
                <w:rFonts w:ascii="Times New Roman" w:hAnsi="Times New Roman" w:cs="Times New Roman"/>
              </w:rPr>
              <w:t>经开区</w:t>
            </w: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15</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横山桥镇</w:t>
            </w:r>
          </w:p>
        </w:tc>
        <w:tc>
          <w:tcPr>
            <w:tcW w:w="851" w:type="dxa"/>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5.03</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16</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西太湖</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tcPr>
          <w:p>
            <w:pPr>
              <w:snapToGrid w:val="0"/>
              <w:spacing w:line="360" w:lineRule="auto"/>
              <w:jc w:val="left"/>
              <w:rPr>
                <w:rFonts w:ascii="Times New Roman" w:hAnsi="Times New Roman" w:eastAsia="黑体"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23</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横林镇</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5.89</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19</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嘉泽镇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tcPr>
          <w:p>
            <w:pPr>
              <w:snapToGrid w:val="0"/>
              <w:spacing w:line="360" w:lineRule="auto"/>
              <w:jc w:val="left"/>
              <w:rPr>
                <w:rFonts w:ascii="Times New Roman" w:hAnsi="Times New Roman" w:eastAsia="黑体"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17</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潞城街道</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5.18</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18</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湟里镇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tcPr>
          <w:p>
            <w:pPr>
              <w:snapToGrid w:val="0"/>
              <w:spacing w:line="360" w:lineRule="auto"/>
              <w:jc w:val="left"/>
              <w:rPr>
                <w:rFonts w:ascii="Times New Roman" w:hAnsi="Times New Roman" w:eastAsia="黑体"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11</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丁堰街道</w:t>
            </w:r>
          </w:p>
        </w:tc>
        <w:tc>
          <w:tcPr>
            <w:tcW w:w="851" w:type="dxa"/>
            <w:vAlign w:val="center"/>
          </w:tcPr>
          <w:p>
            <w:pPr>
              <w:jc w:val="center"/>
              <w:rPr>
                <w:rFonts w:ascii="Times New Roman" w:hAnsi="Times New Roman" w:cs="Times New Roman"/>
                <w:color w:val="9C0006"/>
                <w:sz w:val="20"/>
                <w:szCs w:val="20"/>
              </w:rPr>
            </w:pPr>
            <w:r>
              <w:rPr>
                <w:rFonts w:ascii="Times New Roman" w:hAnsi="Times New Roman" w:cs="Times New Roman"/>
                <w:color w:val="9C0006"/>
                <w:sz w:val="20"/>
                <w:szCs w:val="20"/>
              </w:rPr>
              <w:t>4.68</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40</w:t>
            </w:r>
          </w:p>
        </w:tc>
        <w:tc>
          <w:tcPr>
            <w:tcW w:w="1682" w:type="dxa"/>
          </w:tcPr>
          <w:p>
            <w:pPr>
              <w:spacing w:line="360" w:lineRule="auto"/>
              <w:jc w:val="center"/>
              <w:rPr>
                <w:rFonts w:ascii="Times New Roman" w:hAnsi="Times New Roman" w:cs="Times New Roman"/>
                <w:szCs w:val="21"/>
              </w:rPr>
            </w:pPr>
            <w:r>
              <w:rPr>
                <w:rFonts w:ascii="Times New Roman" w:hAnsi="Times New Roman" w:cs="Times New Roman"/>
                <w:szCs w:val="21"/>
              </w:rPr>
              <w:t>南夏墅</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tcPr>
          <w:p>
            <w:pPr>
              <w:snapToGrid w:val="0"/>
              <w:spacing w:line="360" w:lineRule="auto"/>
              <w:jc w:val="left"/>
              <w:rPr>
                <w:rFonts w:ascii="Times New Roman" w:hAnsi="Times New Roman" w:eastAsia="黑体"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20</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戚墅堰街道</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5.44</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21</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高新区</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tcPr>
          <w:p>
            <w:pPr>
              <w:snapToGrid w:val="0"/>
              <w:spacing w:line="360" w:lineRule="auto"/>
              <w:jc w:val="left"/>
              <w:rPr>
                <w:rFonts w:ascii="Times New Roman" w:hAnsi="Times New Roman" w:eastAsia="黑体" w:cs="Times New Roman"/>
                <w:sz w:val="24"/>
              </w:rPr>
            </w:pPr>
          </w:p>
        </w:tc>
        <w:tc>
          <w:tcPr>
            <w:tcW w:w="709" w:type="dxa"/>
          </w:tcPr>
          <w:p>
            <w:pPr>
              <w:spacing w:line="360" w:lineRule="auto"/>
              <w:jc w:val="center"/>
              <w:rPr>
                <w:rFonts w:ascii="Times New Roman" w:hAnsi="Times New Roman" w:cs="Times New Roman"/>
                <w:b/>
                <w:szCs w:val="21"/>
              </w:rPr>
            </w:pPr>
            <w:r>
              <w:rPr>
                <w:rFonts w:ascii="Times New Roman" w:hAnsi="Times New Roman" w:cs="Times New Roman"/>
                <w:b/>
                <w:szCs w:val="21"/>
              </w:rPr>
              <w:t>31</w:t>
            </w:r>
          </w:p>
        </w:tc>
        <w:tc>
          <w:tcPr>
            <w:tcW w:w="141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遥观镇</w:t>
            </w:r>
          </w:p>
        </w:tc>
        <w:tc>
          <w:tcPr>
            <w:tcW w:w="851" w:type="dxa"/>
            <w:vAlign w:val="center"/>
          </w:tcPr>
          <w:p>
            <w:pPr>
              <w:jc w:val="center"/>
              <w:rPr>
                <w:rFonts w:ascii="Times New Roman" w:hAnsi="Times New Roman" w:cs="Times New Roman"/>
                <w:sz w:val="20"/>
                <w:szCs w:val="20"/>
              </w:rPr>
            </w:pPr>
            <w:r>
              <w:rPr>
                <w:rFonts w:ascii="Times New Roman" w:hAnsi="Times New Roman" w:cs="Times New Roman"/>
                <w:sz w:val="20"/>
                <w:szCs w:val="20"/>
              </w:rPr>
              <w:t>7.27</w:t>
            </w:r>
          </w:p>
        </w:tc>
        <w:tc>
          <w:tcPr>
            <w:tcW w:w="850" w:type="dxa"/>
            <w:vMerge w:val="continue"/>
          </w:tcPr>
          <w:p>
            <w:pPr>
              <w:snapToGrid w:val="0"/>
              <w:spacing w:line="360" w:lineRule="auto"/>
              <w:jc w:val="left"/>
              <w:rPr>
                <w:rFonts w:ascii="Times New Roman" w:hAnsi="Times New Roman" w:eastAsia="黑体" w:cs="Times New Roman"/>
                <w:sz w:val="24"/>
              </w:rPr>
            </w:pPr>
          </w:p>
        </w:tc>
        <w:tc>
          <w:tcPr>
            <w:tcW w:w="851" w:type="dxa"/>
          </w:tcPr>
          <w:p>
            <w:pPr>
              <w:spacing w:line="360" w:lineRule="auto"/>
              <w:jc w:val="center"/>
              <w:rPr>
                <w:rFonts w:ascii="Times New Roman" w:hAnsi="Times New Roman" w:cs="Times New Roman"/>
                <w:b/>
                <w:szCs w:val="21"/>
              </w:rPr>
            </w:pPr>
            <w:r>
              <w:rPr>
                <w:rFonts w:ascii="Times New Roman" w:hAnsi="Times New Roman" w:cs="Times New Roman"/>
                <w:b/>
                <w:szCs w:val="21"/>
              </w:rPr>
              <w:t>27</w:t>
            </w:r>
          </w:p>
        </w:tc>
        <w:tc>
          <w:tcPr>
            <w:tcW w:w="168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前黄镇</w:t>
            </w:r>
          </w:p>
        </w:tc>
        <w:tc>
          <w:tcPr>
            <w:tcW w:w="1090" w:type="dxa"/>
            <w:vAlign w:val="center"/>
          </w:tcPr>
          <w:p>
            <w:pPr>
              <w:jc w:val="center"/>
              <w:rPr>
                <w:rFonts w:ascii="Times New Roman" w:hAnsi="Times New Roman" w:cs="Times New Roman"/>
                <w:sz w:val="20"/>
                <w:szCs w:val="20"/>
              </w:rPr>
            </w:pPr>
            <w:r>
              <w:rPr>
                <w:rFonts w:ascii="Times New Roman" w:hAnsi="Times New Roman" w:cs="Times New Roman"/>
                <w:sz w:val="20"/>
                <w:szCs w:val="20"/>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备注</w:t>
            </w:r>
          </w:p>
        </w:tc>
        <w:tc>
          <w:tcPr>
            <w:tcW w:w="7450" w:type="dxa"/>
            <w:gridSpan w:val="7"/>
            <w:vAlign w:val="center"/>
          </w:tcPr>
          <w:p>
            <w:pPr>
              <w:jc w:val="left"/>
              <w:rPr>
                <w:rFonts w:ascii="Times New Roman" w:hAnsi="Times New Roman" w:cs="Times New Roman"/>
                <w:szCs w:val="21"/>
              </w:rPr>
            </w:pPr>
            <w:r>
              <w:rPr>
                <w:rFonts w:ascii="Times New Roman" w:hAnsi="Times New Roman" w:cs="Times New Roman"/>
                <w:szCs w:val="21"/>
              </w:rPr>
              <w:t>异常数据统计时已剔除，标红的为达标街道（乡镇）</w:t>
            </w:r>
          </w:p>
        </w:tc>
      </w:tr>
    </w:tbl>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黑体" w:cs="Times New Roman"/>
          <w:sz w:val="24"/>
        </w:rPr>
      </w:pPr>
    </w:p>
    <w:p>
      <w:pPr>
        <w:snapToGrid w:val="0"/>
        <w:spacing w:line="360" w:lineRule="auto"/>
        <w:jc w:val="center"/>
        <w:rPr>
          <w:rFonts w:ascii="Times New Roman" w:hAnsi="Times New Roman" w:eastAsia="宋体" w:cs="Times New Roman"/>
          <w:color w:val="000000"/>
          <w:kern w:val="0"/>
          <w:sz w:val="18"/>
          <w:szCs w:val="21"/>
        </w:rPr>
      </w:pPr>
      <w:r>
        <w:rPr>
          <w:rFonts w:ascii="Times New Roman" w:hAnsi="Times New Roman" w:eastAsia="黑体" w:cs="Times New Roman"/>
          <w:sz w:val="24"/>
        </w:rPr>
        <w:t xml:space="preserve">附表4   2019年1~3月各街道乡镇降尘量平均值排名情况   </w:t>
      </w:r>
      <w:r>
        <w:rPr>
          <w:rFonts w:ascii="Times New Roman" w:hAnsi="Times New Roman" w:eastAsia="黑体" w:cs="Times New Roman"/>
          <w:sz w:val="22"/>
        </w:rPr>
        <w:t>单位：</w:t>
      </w:r>
      <w:r>
        <w:rPr>
          <w:rFonts w:ascii="Times New Roman" w:hAnsi="Times New Roman" w:eastAsia="宋体" w:cs="Times New Roman"/>
          <w:color w:val="000000"/>
          <w:kern w:val="0"/>
          <w:sz w:val="18"/>
          <w:szCs w:val="21"/>
        </w:rPr>
        <w:t>t/（km</w:t>
      </w:r>
      <w:r>
        <w:rPr>
          <w:rFonts w:ascii="Times New Roman" w:hAnsi="Times New Roman" w:eastAsia="宋体" w:cs="Times New Roman"/>
          <w:color w:val="000000"/>
          <w:kern w:val="0"/>
          <w:sz w:val="18"/>
          <w:szCs w:val="21"/>
          <w:vertAlign w:val="superscript"/>
        </w:rPr>
        <w:t>2</w:t>
      </w:r>
      <w:r>
        <w:rPr>
          <w:rFonts w:ascii="Times New Roman" w:hAnsi="Times New Roman" w:eastAsia="宋体" w:cs="Times New Roman"/>
          <w:color w:val="000000"/>
          <w:kern w:val="0"/>
          <w:sz w:val="18"/>
          <w:szCs w:val="21"/>
        </w:rPr>
        <w:t>·30d）</w:t>
      </w:r>
    </w:p>
    <w:tbl>
      <w:tblPr>
        <w:tblStyle w:val="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82" w:type="dxa"/>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排名</w:t>
            </w:r>
          </w:p>
        </w:tc>
        <w:tc>
          <w:tcPr>
            <w:tcW w:w="1382" w:type="dxa"/>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乡镇</w:t>
            </w:r>
          </w:p>
        </w:tc>
        <w:tc>
          <w:tcPr>
            <w:tcW w:w="1383" w:type="dxa"/>
            <w:tcBorders>
              <w:right w:val="single" w:color="auto" w:sz="12" w:space="0"/>
            </w:tcBorders>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降尘量</w:t>
            </w:r>
          </w:p>
        </w:tc>
        <w:tc>
          <w:tcPr>
            <w:tcW w:w="1383" w:type="dxa"/>
            <w:tcBorders>
              <w:left w:val="single" w:color="auto" w:sz="12" w:space="0"/>
            </w:tcBorders>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排名</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乡镇</w:t>
            </w:r>
          </w:p>
        </w:tc>
        <w:tc>
          <w:tcPr>
            <w:tcW w:w="1383" w:type="dxa"/>
            <w:shd w:val="clear" w:color="auto" w:fill="D8D8D8" w:themeFill="background1" w:themeFillShade="D9"/>
            <w:vAlign w:val="center"/>
          </w:tcPr>
          <w:p>
            <w:pPr>
              <w:spacing w:line="360" w:lineRule="auto"/>
              <w:jc w:val="center"/>
              <w:rPr>
                <w:rFonts w:ascii="Times New Roman" w:hAnsi="Times New Roman" w:eastAsia="黑体" w:cs="Times New Roman"/>
                <w:b/>
                <w:sz w:val="24"/>
              </w:rPr>
            </w:pPr>
            <w:r>
              <w:rPr>
                <w:rFonts w:ascii="Times New Roman" w:hAnsi="Times New Roman" w:eastAsia="黑体" w:cs="Times New Roman"/>
                <w:b/>
                <w:sz w:val="24"/>
              </w:rPr>
              <w:t>降尘量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w:t>
            </w:r>
          </w:p>
        </w:tc>
        <w:tc>
          <w:tcPr>
            <w:tcW w:w="1382" w:type="dxa"/>
            <w:vAlign w:val="bottom"/>
          </w:tcPr>
          <w:p>
            <w:pPr>
              <w:widowControl/>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兰陵街道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4.16</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21</w:t>
            </w:r>
          </w:p>
        </w:tc>
        <w:tc>
          <w:tcPr>
            <w:tcW w:w="1383" w:type="dxa"/>
            <w:vAlign w:val="bottom"/>
          </w:tcPr>
          <w:p>
            <w:pPr>
              <w:widowControl/>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横山桥镇</w:t>
            </w:r>
          </w:p>
        </w:tc>
        <w:tc>
          <w:tcPr>
            <w:tcW w:w="1383" w:type="dxa"/>
            <w:vAlign w:val="bottom"/>
          </w:tcPr>
          <w:p>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2</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新闸街道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4.38</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22</w:t>
            </w:r>
          </w:p>
        </w:tc>
        <w:tc>
          <w:tcPr>
            <w:tcW w:w="1383" w:type="dxa"/>
            <w:vAlign w:val="bottom"/>
          </w:tcPr>
          <w:p>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三井街道</w:t>
            </w:r>
          </w:p>
        </w:tc>
        <w:tc>
          <w:tcPr>
            <w:tcW w:w="1383" w:type="dxa"/>
            <w:vAlign w:val="bottom"/>
          </w:tcPr>
          <w:p>
            <w:pPr>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3</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湟里镇</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4.58</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23</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西夏墅镇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4</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戚墅堰街道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4.61</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24</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牛塘镇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5</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北港街道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4.63</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25</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潞城街道</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6</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丁堰街道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4.63</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26</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春江镇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7</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龙虎塘街道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4.65</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27</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湖塘镇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8</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前黄镇</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4.74</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28</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雕庄街道</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9</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永红街道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4.78</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29</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遥观镇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10</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青龙街道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4.83</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30</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嘉泽镇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11</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雪堰镇</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4.88</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31</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邹区镇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12</w:t>
            </w:r>
          </w:p>
        </w:tc>
        <w:tc>
          <w:tcPr>
            <w:tcW w:w="1382" w:type="dxa"/>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天宁街道</w:t>
            </w:r>
          </w:p>
        </w:tc>
        <w:tc>
          <w:tcPr>
            <w:tcW w:w="1383" w:type="dxa"/>
            <w:tcBorders>
              <w:right w:val="single" w:color="auto" w:sz="12" w:space="0"/>
            </w:tcBorders>
            <w:vAlign w:val="bottom"/>
          </w:tcPr>
          <w:p>
            <w:pPr>
              <w:jc w:val="center"/>
              <w:rPr>
                <w:rFonts w:ascii="Times New Roman" w:hAnsi="Times New Roman" w:eastAsia="仿宋" w:cs="Times New Roman"/>
                <w:color w:val="C00000"/>
                <w:szCs w:val="21"/>
              </w:rPr>
            </w:pPr>
            <w:r>
              <w:rPr>
                <w:rFonts w:ascii="Times New Roman" w:hAnsi="Times New Roman" w:eastAsia="仿宋" w:cs="Times New Roman"/>
                <w:color w:val="C00000"/>
                <w:szCs w:val="21"/>
              </w:rPr>
              <w:t>4.95</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32</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荷花池街道</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13</w:t>
            </w:r>
          </w:p>
        </w:tc>
        <w:tc>
          <w:tcPr>
            <w:tcW w:w="1382"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西林街道</w:t>
            </w:r>
          </w:p>
        </w:tc>
        <w:tc>
          <w:tcPr>
            <w:tcW w:w="1383" w:type="dxa"/>
            <w:tcBorders>
              <w:right w:val="single" w:color="auto" w:sz="12" w:space="0"/>
            </w:tcBorders>
            <w:vAlign w:val="bottom"/>
          </w:tcPr>
          <w:p>
            <w:pPr>
              <w:jc w:val="center"/>
              <w:rPr>
                <w:rFonts w:ascii="Times New Roman" w:hAnsi="Times New Roman" w:eastAsia="仿宋" w:cs="Times New Roman"/>
                <w:szCs w:val="21"/>
              </w:rPr>
            </w:pPr>
            <w:r>
              <w:rPr>
                <w:rFonts w:ascii="Times New Roman" w:hAnsi="Times New Roman" w:eastAsia="仿宋" w:cs="Times New Roman"/>
                <w:szCs w:val="21"/>
              </w:rPr>
              <w:t>5.03</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33</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罗溪镇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14</w:t>
            </w:r>
          </w:p>
        </w:tc>
        <w:tc>
          <w:tcPr>
            <w:tcW w:w="1382" w:type="dxa"/>
            <w:vAlign w:val="bottom"/>
          </w:tcPr>
          <w:p>
            <w:pPr>
              <w:widowControl/>
              <w:jc w:val="center"/>
              <w:rPr>
                <w:rFonts w:ascii="Times New Roman" w:hAnsi="Times New Roman" w:eastAsia="仿宋" w:cs="Times New Roman"/>
              </w:rPr>
            </w:pPr>
            <w:r>
              <w:rPr>
                <w:rFonts w:ascii="Times New Roman" w:hAnsi="Times New Roman" w:eastAsia="仿宋" w:cs="Times New Roman"/>
              </w:rPr>
              <w:t>薛家镇</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5.06</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34</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奔牛镇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15</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西太湖</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5.08</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35</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洛阳镇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16</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礼嘉镇</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5.23</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36</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新桥镇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17</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红梅街道</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5.39</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37</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五星街道</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18</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横林镇</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5.49</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38</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郑陆镇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19</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茶山街道</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5.51</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39</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孟河镇</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2" w:type="dxa"/>
            <w:vAlign w:val="bottom"/>
          </w:tcPr>
          <w:p>
            <w:pPr>
              <w:jc w:val="center"/>
              <w:rPr>
                <w:rFonts w:ascii="Times New Roman" w:hAnsi="Times New Roman" w:eastAsia="等线" w:cs="Times New Roman"/>
                <w:b/>
                <w:szCs w:val="21"/>
              </w:rPr>
            </w:pPr>
            <w:r>
              <w:rPr>
                <w:rFonts w:ascii="Times New Roman" w:hAnsi="Times New Roman" w:eastAsia="等线" w:cs="Times New Roman"/>
                <w:b/>
                <w:szCs w:val="21"/>
              </w:rPr>
              <w:t>20</w:t>
            </w:r>
          </w:p>
        </w:tc>
        <w:tc>
          <w:tcPr>
            <w:tcW w:w="1382" w:type="dxa"/>
            <w:vAlign w:val="bottom"/>
          </w:tcPr>
          <w:p>
            <w:pPr>
              <w:jc w:val="center"/>
              <w:rPr>
                <w:rFonts w:ascii="Times New Roman" w:hAnsi="Times New Roman" w:eastAsia="仿宋" w:cs="Times New Roman"/>
              </w:rPr>
            </w:pPr>
            <w:r>
              <w:rPr>
                <w:rFonts w:ascii="Times New Roman" w:hAnsi="Times New Roman" w:eastAsia="仿宋" w:cs="Times New Roman"/>
              </w:rPr>
              <w:t>高新区</w:t>
            </w:r>
          </w:p>
        </w:tc>
        <w:tc>
          <w:tcPr>
            <w:tcW w:w="1383" w:type="dxa"/>
            <w:tcBorders>
              <w:right w:val="single" w:color="auto" w:sz="12" w:space="0"/>
            </w:tcBorders>
            <w:vAlign w:val="bottom"/>
          </w:tcPr>
          <w:p>
            <w:pPr>
              <w:jc w:val="center"/>
              <w:rPr>
                <w:rFonts w:ascii="Times New Roman" w:hAnsi="Times New Roman" w:eastAsia="仿宋" w:cs="Times New Roman"/>
              </w:rPr>
            </w:pPr>
            <w:r>
              <w:rPr>
                <w:rFonts w:ascii="Times New Roman" w:hAnsi="Times New Roman" w:eastAsia="仿宋" w:cs="Times New Roman"/>
              </w:rPr>
              <w:t>5.60</w:t>
            </w:r>
          </w:p>
        </w:tc>
        <w:tc>
          <w:tcPr>
            <w:tcW w:w="1383" w:type="dxa"/>
            <w:tcBorders>
              <w:left w:val="single" w:color="auto" w:sz="12" w:space="0"/>
            </w:tcBorders>
            <w:vAlign w:val="bottom"/>
          </w:tcPr>
          <w:p>
            <w:pPr>
              <w:jc w:val="center"/>
              <w:rPr>
                <w:rFonts w:ascii="Times New Roman" w:hAnsi="Times New Roman" w:eastAsia="仿宋" w:cs="Times New Roman"/>
                <w:b/>
                <w:szCs w:val="21"/>
              </w:rPr>
            </w:pPr>
            <w:r>
              <w:rPr>
                <w:rFonts w:ascii="Times New Roman" w:hAnsi="Times New Roman" w:eastAsia="仿宋" w:cs="Times New Roman"/>
                <w:b/>
                <w:szCs w:val="21"/>
              </w:rPr>
              <w:t>40</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南夏墅</w:t>
            </w:r>
          </w:p>
        </w:tc>
        <w:tc>
          <w:tcPr>
            <w:tcW w:w="1383" w:type="dxa"/>
            <w:vAlign w:val="bottom"/>
          </w:tcPr>
          <w:p>
            <w:pPr>
              <w:jc w:val="center"/>
              <w:rPr>
                <w:rFonts w:ascii="Times New Roman" w:hAnsi="Times New Roman" w:eastAsia="仿宋" w:cs="Times New Roman"/>
                <w:szCs w:val="21"/>
              </w:rPr>
            </w:pPr>
            <w:r>
              <w:rPr>
                <w:rFonts w:ascii="Times New Roman" w:hAnsi="Times New Roman" w:eastAsia="仿宋" w:cs="Times New Roman"/>
                <w:szCs w:val="21"/>
              </w:rPr>
              <w:t>8.27</w:t>
            </w:r>
          </w:p>
        </w:tc>
      </w:tr>
    </w:tbl>
    <w:p>
      <w:pPr>
        <w:snapToGrid w:val="0"/>
        <w:spacing w:line="360" w:lineRule="auto"/>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0"/>
        </w:rPr>
        <w:t xml:space="preserve"> </w:t>
      </w:r>
      <w:r>
        <w:rPr>
          <w:rFonts w:ascii="Times New Roman" w:hAnsi="Times New Roman" w:cs="Times New Roman"/>
        </w:rPr>
        <w:t>注：标红的为达标乡镇。</w:t>
      </w:r>
    </w:p>
    <w:p>
      <w:pPr>
        <w:widowControl/>
        <w:jc w:val="left"/>
        <w:rPr>
          <w:rFonts w:ascii="Times New Roman" w:hAnsi="Times New Roman" w:eastAsia="宋体" w:cs="Times New Roman"/>
          <w:kern w:val="0"/>
          <w:sz w:val="24"/>
          <w:szCs w:val="24"/>
        </w:rPr>
      </w:pPr>
    </w:p>
    <w:p>
      <w:pPr>
        <w:widowControl/>
        <w:jc w:val="left"/>
        <w:rPr>
          <w:rFonts w:ascii="Times New Roman" w:hAnsi="Times New Roman" w:cs="Times New Roman"/>
          <w:sz w:val="28"/>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cs="Times New Roman"/>
          <w:sz w:val="28"/>
        </w:rPr>
      </w:pPr>
    </w:p>
    <w:sectPr>
      <w:footerReference r:id="rId3" w:type="default"/>
      <w:pgSz w:w="11906" w:h="16838"/>
      <w:pgMar w:top="1440" w:right="1134" w:bottom="1440" w:left="113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4C0"/>
    <w:rsid w:val="000018CA"/>
    <w:rsid w:val="00001EE9"/>
    <w:rsid w:val="00004388"/>
    <w:rsid w:val="00004CB6"/>
    <w:rsid w:val="00012467"/>
    <w:rsid w:val="0002034F"/>
    <w:rsid w:val="000249BF"/>
    <w:rsid w:val="00024A54"/>
    <w:rsid w:val="0005677D"/>
    <w:rsid w:val="000647E8"/>
    <w:rsid w:val="000737CB"/>
    <w:rsid w:val="00077060"/>
    <w:rsid w:val="00087A83"/>
    <w:rsid w:val="000A432D"/>
    <w:rsid w:val="000B48A3"/>
    <w:rsid w:val="000B5862"/>
    <w:rsid w:val="000D318B"/>
    <w:rsid w:val="000E40EA"/>
    <w:rsid w:val="000E586C"/>
    <w:rsid w:val="000E7D06"/>
    <w:rsid w:val="00116112"/>
    <w:rsid w:val="001247FB"/>
    <w:rsid w:val="001301E7"/>
    <w:rsid w:val="00134B92"/>
    <w:rsid w:val="0014499F"/>
    <w:rsid w:val="00145D73"/>
    <w:rsid w:val="00160BDA"/>
    <w:rsid w:val="001641E2"/>
    <w:rsid w:val="001856FB"/>
    <w:rsid w:val="00192E00"/>
    <w:rsid w:val="001A3EE3"/>
    <w:rsid w:val="001B1969"/>
    <w:rsid w:val="001B775B"/>
    <w:rsid w:val="001D37BB"/>
    <w:rsid w:val="001D3A83"/>
    <w:rsid w:val="001D52AF"/>
    <w:rsid w:val="001E157F"/>
    <w:rsid w:val="001E23DE"/>
    <w:rsid w:val="001E4908"/>
    <w:rsid w:val="001F3DBD"/>
    <w:rsid w:val="0020563D"/>
    <w:rsid w:val="00210DA0"/>
    <w:rsid w:val="00220A96"/>
    <w:rsid w:val="00224F79"/>
    <w:rsid w:val="00231C29"/>
    <w:rsid w:val="00233162"/>
    <w:rsid w:val="00251ABC"/>
    <w:rsid w:val="00263EC7"/>
    <w:rsid w:val="002724A4"/>
    <w:rsid w:val="00275E97"/>
    <w:rsid w:val="0028215F"/>
    <w:rsid w:val="002837B2"/>
    <w:rsid w:val="002859B0"/>
    <w:rsid w:val="0028764C"/>
    <w:rsid w:val="002A4334"/>
    <w:rsid w:val="002B1315"/>
    <w:rsid w:val="002B3259"/>
    <w:rsid w:val="002C6F4B"/>
    <w:rsid w:val="00302118"/>
    <w:rsid w:val="00304C2C"/>
    <w:rsid w:val="00305A40"/>
    <w:rsid w:val="00307792"/>
    <w:rsid w:val="003107B8"/>
    <w:rsid w:val="0031725D"/>
    <w:rsid w:val="00322E54"/>
    <w:rsid w:val="003235E8"/>
    <w:rsid w:val="00333613"/>
    <w:rsid w:val="00344BA1"/>
    <w:rsid w:val="00350C11"/>
    <w:rsid w:val="00350CC5"/>
    <w:rsid w:val="0036207A"/>
    <w:rsid w:val="0036365D"/>
    <w:rsid w:val="00376EE4"/>
    <w:rsid w:val="003867D6"/>
    <w:rsid w:val="00387F84"/>
    <w:rsid w:val="00393791"/>
    <w:rsid w:val="003A181F"/>
    <w:rsid w:val="003A2926"/>
    <w:rsid w:val="003A5D41"/>
    <w:rsid w:val="003B305A"/>
    <w:rsid w:val="003B3404"/>
    <w:rsid w:val="003C1FEF"/>
    <w:rsid w:val="003C35BA"/>
    <w:rsid w:val="003D5C58"/>
    <w:rsid w:val="003E796A"/>
    <w:rsid w:val="003F1880"/>
    <w:rsid w:val="003F6ED4"/>
    <w:rsid w:val="00401D8F"/>
    <w:rsid w:val="004124C0"/>
    <w:rsid w:val="004135BB"/>
    <w:rsid w:val="004264DC"/>
    <w:rsid w:val="00431F5C"/>
    <w:rsid w:val="0043590C"/>
    <w:rsid w:val="0044371B"/>
    <w:rsid w:val="00450E62"/>
    <w:rsid w:val="004716F7"/>
    <w:rsid w:val="004767B1"/>
    <w:rsid w:val="00487279"/>
    <w:rsid w:val="004A2032"/>
    <w:rsid w:val="004C5547"/>
    <w:rsid w:val="004C7E16"/>
    <w:rsid w:val="004E26E5"/>
    <w:rsid w:val="004F1C45"/>
    <w:rsid w:val="005017EA"/>
    <w:rsid w:val="005210CC"/>
    <w:rsid w:val="00525235"/>
    <w:rsid w:val="00526506"/>
    <w:rsid w:val="00527427"/>
    <w:rsid w:val="00546247"/>
    <w:rsid w:val="005649F7"/>
    <w:rsid w:val="005650C2"/>
    <w:rsid w:val="00565E06"/>
    <w:rsid w:val="00565EB9"/>
    <w:rsid w:val="00567BBE"/>
    <w:rsid w:val="005707D6"/>
    <w:rsid w:val="00575080"/>
    <w:rsid w:val="00587A19"/>
    <w:rsid w:val="005A7B15"/>
    <w:rsid w:val="005B5AAA"/>
    <w:rsid w:val="005C619F"/>
    <w:rsid w:val="005D0C84"/>
    <w:rsid w:val="005D1296"/>
    <w:rsid w:val="005D509C"/>
    <w:rsid w:val="005F0F17"/>
    <w:rsid w:val="00603E06"/>
    <w:rsid w:val="00612221"/>
    <w:rsid w:val="00643451"/>
    <w:rsid w:val="0064382D"/>
    <w:rsid w:val="00644BDF"/>
    <w:rsid w:val="006509A4"/>
    <w:rsid w:val="0065225D"/>
    <w:rsid w:val="00653548"/>
    <w:rsid w:val="00666B4C"/>
    <w:rsid w:val="0066710C"/>
    <w:rsid w:val="006810DB"/>
    <w:rsid w:val="0068179E"/>
    <w:rsid w:val="00693724"/>
    <w:rsid w:val="00694224"/>
    <w:rsid w:val="006B01A3"/>
    <w:rsid w:val="006B6710"/>
    <w:rsid w:val="006C6D9B"/>
    <w:rsid w:val="006D0581"/>
    <w:rsid w:val="006D2B16"/>
    <w:rsid w:val="007168C7"/>
    <w:rsid w:val="00730F27"/>
    <w:rsid w:val="007343FC"/>
    <w:rsid w:val="0075167A"/>
    <w:rsid w:val="00757C95"/>
    <w:rsid w:val="00767379"/>
    <w:rsid w:val="00770773"/>
    <w:rsid w:val="007737D5"/>
    <w:rsid w:val="0077491D"/>
    <w:rsid w:val="00775A43"/>
    <w:rsid w:val="00782C30"/>
    <w:rsid w:val="007A3EE1"/>
    <w:rsid w:val="007A6D5A"/>
    <w:rsid w:val="007B3731"/>
    <w:rsid w:val="007C0AC9"/>
    <w:rsid w:val="007C50D1"/>
    <w:rsid w:val="007D0BB6"/>
    <w:rsid w:val="007D3031"/>
    <w:rsid w:val="007E2EFC"/>
    <w:rsid w:val="007E4B9C"/>
    <w:rsid w:val="007F0DFA"/>
    <w:rsid w:val="007F5B87"/>
    <w:rsid w:val="007F75F5"/>
    <w:rsid w:val="00801D57"/>
    <w:rsid w:val="0080355A"/>
    <w:rsid w:val="00811AC2"/>
    <w:rsid w:val="00813174"/>
    <w:rsid w:val="00820D37"/>
    <w:rsid w:val="00853343"/>
    <w:rsid w:val="00860771"/>
    <w:rsid w:val="00860C1A"/>
    <w:rsid w:val="00866C67"/>
    <w:rsid w:val="008759C5"/>
    <w:rsid w:val="0088453A"/>
    <w:rsid w:val="00887B5E"/>
    <w:rsid w:val="0089296D"/>
    <w:rsid w:val="00895E37"/>
    <w:rsid w:val="00896E8D"/>
    <w:rsid w:val="008A05FD"/>
    <w:rsid w:val="008A2CC0"/>
    <w:rsid w:val="008A7AFB"/>
    <w:rsid w:val="008B0E7E"/>
    <w:rsid w:val="008D5B8D"/>
    <w:rsid w:val="008F2456"/>
    <w:rsid w:val="008F6136"/>
    <w:rsid w:val="008F6288"/>
    <w:rsid w:val="009022CA"/>
    <w:rsid w:val="009056DF"/>
    <w:rsid w:val="0090696C"/>
    <w:rsid w:val="00907C84"/>
    <w:rsid w:val="00920A6F"/>
    <w:rsid w:val="009216B0"/>
    <w:rsid w:val="00921708"/>
    <w:rsid w:val="0092281A"/>
    <w:rsid w:val="00923012"/>
    <w:rsid w:val="009255D8"/>
    <w:rsid w:val="0094655A"/>
    <w:rsid w:val="00952B1E"/>
    <w:rsid w:val="0096547D"/>
    <w:rsid w:val="00966580"/>
    <w:rsid w:val="00973D6D"/>
    <w:rsid w:val="00976718"/>
    <w:rsid w:val="00983E0E"/>
    <w:rsid w:val="00992659"/>
    <w:rsid w:val="009964F0"/>
    <w:rsid w:val="00996AC0"/>
    <w:rsid w:val="009A3F78"/>
    <w:rsid w:val="009B3882"/>
    <w:rsid w:val="009B70A3"/>
    <w:rsid w:val="009C7A10"/>
    <w:rsid w:val="009D1A54"/>
    <w:rsid w:val="009D414F"/>
    <w:rsid w:val="009D4513"/>
    <w:rsid w:val="009D7204"/>
    <w:rsid w:val="009F2FEE"/>
    <w:rsid w:val="009F60E6"/>
    <w:rsid w:val="00A01224"/>
    <w:rsid w:val="00A02A18"/>
    <w:rsid w:val="00A30E4D"/>
    <w:rsid w:val="00A42339"/>
    <w:rsid w:val="00A43F37"/>
    <w:rsid w:val="00A451D3"/>
    <w:rsid w:val="00A5542A"/>
    <w:rsid w:val="00A56A2E"/>
    <w:rsid w:val="00A668A7"/>
    <w:rsid w:val="00A72B56"/>
    <w:rsid w:val="00A75C83"/>
    <w:rsid w:val="00A85EC5"/>
    <w:rsid w:val="00AB584C"/>
    <w:rsid w:val="00AC4CBE"/>
    <w:rsid w:val="00AC7565"/>
    <w:rsid w:val="00AD5233"/>
    <w:rsid w:val="00AD72F5"/>
    <w:rsid w:val="00AE494C"/>
    <w:rsid w:val="00AE5E8D"/>
    <w:rsid w:val="00AE7C6A"/>
    <w:rsid w:val="00AF2D7F"/>
    <w:rsid w:val="00AF40FA"/>
    <w:rsid w:val="00B07AF1"/>
    <w:rsid w:val="00B250A8"/>
    <w:rsid w:val="00B36FB6"/>
    <w:rsid w:val="00B4215E"/>
    <w:rsid w:val="00B421EA"/>
    <w:rsid w:val="00B43FD5"/>
    <w:rsid w:val="00B554E9"/>
    <w:rsid w:val="00B82D10"/>
    <w:rsid w:val="00B83A65"/>
    <w:rsid w:val="00B84200"/>
    <w:rsid w:val="00B85F32"/>
    <w:rsid w:val="00BA7218"/>
    <w:rsid w:val="00BB54BB"/>
    <w:rsid w:val="00BC2A48"/>
    <w:rsid w:val="00BC38CA"/>
    <w:rsid w:val="00BC49EB"/>
    <w:rsid w:val="00BC5352"/>
    <w:rsid w:val="00BD3057"/>
    <w:rsid w:val="00BE2359"/>
    <w:rsid w:val="00BE57A7"/>
    <w:rsid w:val="00BF382E"/>
    <w:rsid w:val="00C14210"/>
    <w:rsid w:val="00C221F1"/>
    <w:rsid w:val="00C243CC"/>
    <w:rsid w:val="00C27B7C"/>
    <w:rsid w:val="00C3698D"/>
    <w:rsid w:val="00C418FE"/>
    <w:rsid w:val="00C4278B"/>
    <w:rsid w:val="00C44BD2"/>
    <w:rsid w:val="00C5507D"/>
    <w:rsid w:val="00C66C81"/>
    <w:rsid w:val="00C71D24"/>
    <w:rsid w:val="00C778FD"/>
    <w:rsid w:val="00C80875"/>
    <w:rsid w:val="00C86B23"/>
    <w:rsid w:val="00C875DA"/>
    <w:rsid w:val="00C87AAA"/>
    <w:rsid w:val="00CA44EB"/>
    <w:rsid w:val="00CA6833"/>
    <w:rsid w:val="00CB3951"/>
    <w:rsid w:val="00CD1DF5"/>
    <w:rsid w:val="00CD671E"/>
    <w:rsid w:val="00CD701F"/>
    <w:rsid w:val="00CE3100"/>
    <w:rsid w:val="00CE48FF"/>
    <w:rsid w:val="00D07247"/>
    <w:rsid w:val="00D215A1"/>
    <w:rsid w:val="00D21CB5"/>
    <w:rsid w:val="00D22F62"/>
    <w:rsid w:val="00D24CB3"/>
    <w:rsid w:val="00D2560D"/>
    <w:rsid w:val="00D43A1B"/>
    <w:rsid w:val="00D44789"/>
    <w:rsid w:val="00D63F44"/>
    <w:rsid w:val="00D8244C"/>
    <w:rsid w:val="00D92540"/>
    <w:rsid w:val="00D92DDF"/>
    <w:rsid w:val="00DA129D"/>
    <w:rsid w:val="00DA1D3E"/>
    <w:rsid w:val="00DA6D53"/>
    <w:rsid w:val="00DB373E"/>
    <w:rsid w:val="00DB56F3"/>
    <w:rsid w:val="00DC3C22"/>
    <w:rsid w:val="00DD15F1"/>
    <w:rsid w:val="00DD2E38"/>
    <w:rsid w:val="00DE79B5"/>
    <w:rsid w:val="00DE7C93"/>
    <w:rsid w:val="00DF0017"/>
    <w:rsid w:val="00DF799A"/>
    <w:rsid w:val="00E01D0A"/>
    <w:rsid w:val="00E12665"/>
    <w:rsid w:val="00E2167B"/>
    <w:rsid w:val="00E228C8"/>
    <w:rsid w:val="00E228DE"/>
    <w:rsid w:val="00E43067"/>
    <w:rsid w:val="00E524FD"/>
    <w:rsid w:val="00E54377"/>
    <w:rsid w:val="00E57B3B"/>
    <w:rsid w:val="00E82D20"/>
    <w:rsid w:val="00E86BF0"/>
    <w:rsid w:val="00E87E8C"/>
    <w:rsid w:val="00EA131C"/>
    <w:rsid w:val="00EA4FB7"/>
    <w:rsid w:val="00EA7955"/>
    <w:rsid w:val="00EB362D"/>
    <w:rsid w:val="00EC40AF"/>
    <w:rsid w:val="00ED2DCB"/>
    <w:rsid w:val="00ED74D8"/>
    <w:rsid w:val="00EE4600"/>
    <w:rsid w:val="00F005E2"/>
    <w:rsid w:val="00F13E7B"/>
    <w:rsid w:val="00F20261"/>
    <w:rsid w:val="00F24D1E"/>
    <w:rsid w:val="00F25DF1"/>
    <w:rsid w:val="00F316C2"/>
    <w:rsid w:val="00F36C86"/>
    <w:rsid w:val="00F4167E"/>
    <w:rsid w:val="00F418C6"/>
    <w:rsid w:val="00F504F9"/>
    <w:rsid w:val="00F51D51"/>
    <w:rsid w:val="00F57993"/>
    <w:rsid w:val="00F62616"/>
    <w:rsid w:val="00F6456E"/>
    <w:rsid w:val="00F67670"/>
    <w:rsid w:val="00F82128"/>
    <w:rsid w:val="00F8595C"/>
    <w:rsid w:val="00F95D5B"/>
    <w:rsid w:val="00F96CF4"/>
    <w:rsid w:val="00FA08D5"/>
    <w:rsid w:val="00FB1C10"/>
    <w:rsid w:val="00FB67F9"/>
    <w:rsid w:val="00FC06EE"/>
    <w:rsid w:val="00FC0D91"/>
    <w:rsid w:val="00FC4D3E"/>
    <w:rsid w:val="00FC662F"/>
    <w:rsid w:val="00FF29CB"/>
    <w:rsid w:val="00FF7B46"/>
    <w:rsid w:val="0C2A267D"/>
    <w:rsid w:val="23542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220" w:after="210"/>
      <w:outlineLvl w:val="0"/>
    </w:pPr>
    <w:rPr>
      <w:b/>
      <w:bCs/>
      <w:kern w:val="44"/>
      <w:sz w:val="30"/>
      <w:szCs w:val="44"/>
    </w:rPr>
  </w:style>
  <w:style w:type="character" w:default="1" w:styleId="7">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FollowedHyperlink"/>
    <w:basedOn w:val="7"/>
    <w:semiHidden/>
    <w:unhideWhenUsed/>
    <w:qFormat/>
    <w:uiPriority w:val="99"/>
    <w:rPr>
      <w:color w:val="954F72"/>
      <w:u w:val="single"/>
    </w:rPr>
  </w:style>
  <w:style w:type="character" w:styleId="9">
    <w:name w:val="Hyperlink"/>
    <w:basedOn w:val="7"/>
    <w:semiHidden/>
    <w:unhideWhenUsed/>
    <w:qFormat/>
    <w:uiPriority w:val="99"/>
    <w:rPr>
      <w:color w:val="0563C1"/>
      <w:u w:val="single"/>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customStyle="1" w:styleId="12">
    <w:name w:val="font5"/>
    <w:basedOn w:val="1"/>
    <w:qFormat/>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13">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4">
    <w:name w:val="font7"/>
    <w:basedOn w:val="1"/>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5">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7">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9">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eastAsia="宋体" w:cs="宋体"/>
      <w:b/>
      <w:bCs/>
      <w:kern w:val="0"/>
      <w:sz w:val="24"/>
      <w:szCs w:val="24"/>
    </w:rPr>
  </w:style>
  <w:style w:type="paragraph" w:customStyle="1" w:styleId="20">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1">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2">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3">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
    <w:name w:val="xl72"/>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
    <w:name w:val="xl73"/>
    <w:basedOn w:val="1"/>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
    <w:name w:val="xl74"/>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
    <w:name w:val="xl75"/>
    <w:basedOn w:val="1"/>
    <w:uiPriority w:val="0"/>
    <w:pPr>
      <w:widowControl/>
      <w:pBdr>
        <w:top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8">
    <w:name w:val="xl7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character" w:customStyle="1" w:styleId="29">
    <w:name w:val="标题 1 Char"/>
    <w:basedOn w:val="7"/>
    <w:link w:val="2"/>
    <w:qFormat/>
    <w:uiPriority w:val="9"/>
    <w:rPr>
      <w:b/>
      <w:bCs/>
      <w:kern w:val="44"/>
      <w:sz w:val="30"/>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50" b="1" i="0" u="none" strike="noStrike" kern="1200" cap="none" spc="0" normalizeH="0" baseline="0">
                <a:solidFill>
                  <a:sysClr val="windowText" lastClr="000000"/>
                </a:solidFill>
                <a:latin typeface="Times New Roman" panose="02020603050405020304" charset="0"/>
                <a:ea typeface="+mj-ea"/>
                <a:cs typeface="Times New Roman" panose="02020603050405020304" charset="0"/>
              </a:defRPr>
            </a:pPr>
            <a:r>
              <a:rPr lang="zh-CN" altLang="en-US" sz="1050">
                <a:latin typeface="Times New Roman" panose="02020603050405020304" charset="0"/>
                <a:cs typeface="Times New Roman" panose="02020603050405020304" charset="0"/>
              </a:rPr>
              <a:t>单位：</a:t>
            </a:r>
            <a:r>
              <a:rPr lang="en-US" altLang="zh-CN" sz="1050">
                <a:latin typeface="Times New Roman" panose="02020603050405020304" charset="0"/>
                <a:cs typeface="Times New Roman" panose="02020603050405020304" charset="0"/>
              </a:rPr>
              <a:t>t/30d</a:t>
            </a:r>
            <a:r>
              <a:rPr lang="zh-CN" altLang="en-US" sz="1050">
                <a:latin typeface="Times New Roman" panose="02020603050405020304" charset="0"/>
                <a:ea typeface="仿宋" panose="02010609060101010101" pitchFamily="3" charset="-122"/>
                <a:cs typeface="Times New Roman" panose="02020603050405020304" charset="0"/>
              </a:rPr>
              <a:t>˙</a:t>
            </a:r>
            <a:r>
              <a:rPr lang="en-US" altLang="zh-CN" sz="1050">
                <a:latin typeface="Times New Roman" panose="02020603050405020304" charset="0"/>
                <a:ea typeface="仿宋" panose="02010609060101010101" pitchFamily="3" charset="-122"/>
                <a:cs typeface="Times New Roman" panose="02020603050405020304" charset="0"/>
              </a:rPr>
              <a:t>km</a:t>
            </a:r>
            <a:r>
              <a:rPr lang="en-US" altLang="zh-CN" sz="1050" baseline="30000">
                <a:latin typeface="Times New Roman" panose="02020603050405020304" charset="0"/>
                <a:ea typeface="仿宋" panose="02010609060101010101" pitchFamily="3" charset="-122"/>
                <a:cs typeface="Times New Roman" panose="02020603050405020304" charset="0"/>
              </a:rPr>
              <a:t>2</a:t>
            </a:r>
            <a:endParaRPr lang="zh-CN" altLang="en-US" sz="1050" baseline="30000">
              <a:latin typeface="Times New Roman" panose="02020603050405020304" charset="0"/>
              <a:cs typeface="Times New Roman" panose="02020603050405020304" charset="0"/>
            </a:endParaRPr>
          </a:p>
        </c:rich>
      </c:tx>
      <c:layout>
        <c:manualLayout>
          <c:xMode val="edge"/>
          <c:yMode val="edge"/>
          <c:x val="0.0132935466400033"/>
          <c:y val="0.0315789473684211"/>
        </c:manualLayout>
      </c:layout>
      <c:overlay val="0"/>
      <c:spPr>
        <a:noFill/>
        <a:ln>
          <a:noFill/>
        </a:ln>
        <a:effectLst/>
      </c:spPr>
    </c:title>
    <c:autoTitleDeleted val="0"/>
    <c:plotArea>
      <c:layout>
        <c:manualLayout>
          <c:layoutTarget val="inner"/>
          <c:xMode val="edge"/>
          <c:yMode val="edge"/>
          <c:x val="0.0859986251718535"/>
          <c:y val="0.208399311531842"/>
          <c:w val="0.884900845727617"/>
          <c:h val="0.661389133587217"/>
        </c:manualLayout>
      </c:layout>
      <c:barChart>
        <c:barDir val="col"/>
        <c:grouping val="clustered"/>
        <c:varyColors val="0"/>
        <c:ser>
          <c:idx val="0"/>
          <c:order val="0"/>
          <c:tx>
            <c:strRef>
              <c:f>Sheet1!$B$1</c:f>
              <c:strCache>
                <c:ptCount val="1"/>
                <c:pt idx="0">
                  <c:v>降尘</c:v>
                </c:pt>
              </c:strCache>
            </c:strRef>
          </c:tx>
          <c:spPr>
            <a:solidFill>
              <a:schemeClr val="accent1"/>
            </a:solidFill>
            <a:ln>
              <a:noFill/>
            </a:ln>
            <a:effectLst/>
          </c:spPr>
          <c:invertIfNegative val="0"/>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5"/>
              </a:solidFill>
              <a:ln>
                <a:noFill/>
              </a:ln>
              <a:effectLst/>
            </c:spPr>
          </c:dPt>
          <c:dPt>
            <c:idx val="4"/>
            <c:invertIfNegative val="0"/>
            <c:bubble3D val="0"/>
            <c:spPr>
              <a:solidFill>
                <a:schemeClr val="accent6"/>
              </a:solidFill>
              <a:ln>
                <a:noFill/>
              </a:ln>
              <a:effectLst/>
            </c:spPr>
          </c:dPt>
          <c:dLbls>
            <c:dLbl>
              <c:idx val="0"/>
              <c:layout>
                <c:manualLayout>
                  <c:x val="0"/>
                  <c:y val="-0.02753872633390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钟楼区</c:v>
                </c:pt>
                <c:pt idx="1">
                  <c:v>天宁区</c:v>
                </c:pt>
                <c:pt idx="2">
                  <c:v>经开区</c:v>
                </c:pt>
                <c:pt idx="3">
                  <c:v>新北区</c:v>
                </c:pt>
                <c:pt idx="4">
                  <c:v>武进区</c:v>
                </c:pt>
              </c:strCache>
            </c:strRef>
          </c:cat>
          <c:val>
            <c:numRef>
              <c:f>Sheet1!$B$2:$B$6</c:f>
              <c:numCache>
                <c:formatCode>0.00</c:formatCode>
                <c:ptCount val="5"/>
                <c:pt idx="0">
                  <c:v>5.13978777514685</c:v>
                </c:pt>
                <c:pt idx="1">
                  <c:v>5.40451171260402</c:v>
                </c:pt>
                <c:pt idx="2">
                  <c:v>5.9534372932163</c:v>
                </c:pt>
                <c:pt idx="3">
                  <c:v>6.61</c:v>
                </c:pt>
                <c:pt idx="4">
                  <c:v>6.13511838989745</c:v>
                </c:pt>
              </c:numCache>
            </c:numRef>
          </c:val>
        </c:ser>
        <c:dLbls>
          <c:showLegendKey val="0"/>
          <c:showVal val="0"/>
          <c:showCatName val="0"/>
          <c:showSerName val="0"/>
          <c:showPercent val="0"/>
          <c:showBubbleSize val="0"/>
        </c:dLbls>
        <c:gapWidth val="167"/>
        <c:overlap val="50"/>
        <c:axId val="736212168"/>
        <c:axId val="733597704"/>
      </c:barChart>
      <c:catAx>
        <c:axId val="736212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ysClr val="windowText" lastClr="000000"/>
                </a:solidFill>
                <a:latin typeface="+mn-lt"/>
                <a:ea typeface="+mn-ea"/>
                <a:cs typeface="+mn-cs"/>
              </a:defRPr>
            </a:pPr>
          </a:p>
        </c:txPr>
        <c:crossAx val="733597704"/>
        <c:crosses val="autoZero"/>
        <c:auto val="1"/>
        <c:lblAlgn val="ctr"/>
        <c:lblOffset val="100"/>
        <c:noMultiLvlLbl val="0"/>
      </c:catAx>
      <c:valAx>
        <c:axId val="73359770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7362121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1040</Words>
  <Characters>5929</Characters>
  <Lines>49</Lines>
  <Paragraphs>13</Paragraphs>
  <TotalTime>1248</TotalTime>
  <ScaleCrop>false</ScaleCrop>
  <LinksUpToDate>false</LinksUpToDate>
  <CharactersWithSpaces>6956</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2018-09-07T02:52:00Z</dcterms:created>
  <dc:creator>USER</dc:creator>
  <cp:lastModifiedBy>向日葵1370660212</cp:lastModifiedBy>
  <cp:lastPrinted>2019-07-23T01:23:16Z</cp:lastPrinted>
  <dcterms:modified xsi:type="dcterms:W3CDTF">2019-07-23T01:23:21Z</dcterms:modified>
  <dc:title>江苏省常州环境监测中心</dc:title>
  <cp:revision>317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