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b/>
          <w:bCs/>
          <w:color w:val="000000"/>
          <w:kern w:val="0"/>
          <w:sz w:val="40"/>
          <w:szCs w:val="40"/>
        </w:rPr>
      </w:pPr>
      <w:r>
        <w:rPr>
          <w:rFonts w:ascii="Times New Roman" w:hAnsi="Times New Roman" w:eastAsia="黑体" w:cs="Times New Roman"/>
          <w:bCs/>
          <w:color w:val="000000"/>
          <w:kern w:val="0"/>
          <w:sz w:val="32"/>
          <w:szCs w:val="32"/>
        </w:rPr>
        <w:t>附件</w:t>
      </w:r>
      <w:r>
        <w:rPr>
          <w:rFonts w:hint="eastAsia" w:ascii="Times New Roman" w:hAnsi="Times New Roman" w:eastAsia="黑体" w:cs="Times New Roman"/>
          <w:bCs/>
          <w:color w:val="000000"/>
          <w:kern w:val="0"/>
          <w:sz w:val="32"/>
          <w:szCs w:val="32"/>
        </w:rPr>
        <w:t>1</w:t>
      </w:r>
    </w:p>
    <w:p>
      <w:pPr>
        <w:widowControl/>
        <w:jc w:val="center"/>
        <w:rPr>
          <w:rFonts w:ascii="Times New Roman" w:hAnsi="Times New Roman" w:eastAsia="方正小标宋简体" w:cs="Times New Roman"/>
          <w:sz w:val="36"/>
          <w:szCs w:val="36"/>
        </w:rPr>
      </w:pPr>
      <w:bookmarkStart w:id="0" w:name="_GoBack"/>
      <w:r>
        <w:rPr>
          <w:rFonts w:hint="eastAsia" w:ascii="Times New Roman" w:hAnsi="Times New Roman" w:eastAsia="方正小标宋简体" w:cs="Times New Roman"/>
          <w:sz w:val="36"/>
          <w:szCs w:val="36"/>
        </w:rPr>
        <w:t>雪堰镇政务服务事项动态调整清单</w:t>
      </w:r>
      <w:bookmarkEnd w:id="0"/>
    </w:p>
    <w:tbl>
      <w:tblPr>
        <w:tblStyle w:val="3"/>
        <w:tblW w:w="14085" w:type="dxa"/>
        <w:tblInd w:w="1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3480"/>
        <w:gridCol w:w="3180"/>
        <w:gridCol w:w="1950"/>
        <w:gridCol w:w="1495"/>
        <w:gridCol w:w="3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blHeader/>
        </w:trPr>
        <w:tc>
          <w:tcPr>
            <w:tcW w:w="660" w:type="dxa"/>
            <w:vMerge w:val="restart"/>
            <w:tcBorders>
              <w:tl2br w:val="nil"/>
              <w:tr2bl w:val="nil"/>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6660" w:type="dxa"/>
            <w:gridSpan w:val="2"/>
            <w:tcBorders>
              <w:tl2br w:val="nil"/>
              <w:tr2bl w:val="nil"/>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事项名称</w:t>
            </w:r>
          </w:p>
        </w:tc>
        <w:tc>
          <w:tcPr>
            <w:tcW w:w="1950" w:type="dxa"/>
            <w:vMerge w:val="restart"/>
            <w:tcBorders>
              <w:tl2br w:val="nil"/>
              <w:tr2bl w:val="nil"/>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所属部门</w:t>
            </w:r>
          </w:p>
        </w:tc>
        <w:tc>
          <w:tcPr>
            <w:tcW w:w="1495" w:type="dxa"/>
            <w:vMerge w:val="restart"/>
            <w:tcBorders>
              <w:tl2br w:val="nil"/>
              <w:tr2bl w:val="nil"/>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事项类别</w:t>
            </w:r>
          </w:p>
        </w:tc>
        <w:tc>
          <w:tcPr>
            <w:tcW w:w="3320" w:type="dxa"/>
            <w:vMerge w:val="restart"/>
            <w:tcBorders>
              <w:tl2br w:val="nil"/>
              <w:tr2bl w:val="nil"/>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调整内容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blHeader/>
        </w:trPr>
        <w:tc>
          <w:tcPr>
            <w:tcW w:w="660" w:type="dxa"/>
            <w:vMerge w:val="continue"/>
            <w:tcBorders>
              <w:tl2br w:val="nil"/>
              <w:tr2bl w:val="nil"/>
            </w:tcBorders>
            <w:noWrap w:val="0"/>
            <w:vAlign w:val="center"/>
          </w:tcPr>
          <w:p>
            <w:pPr>
              <w:widowControl/>
              <w:jc w:val="center"/>
              <w:rPr>
                <w:rFonts w:hint="eastAsia" w:ascii="宋体" w:hAnsi="宋体" w:eastAsia="宋体" w:cs="宋体"/>
                <w:b/>
                <w:bCs w:val="0"/>
                <w:sz w:val="21"/>
                <w:szCs w:val="21"/>
              </w:rPr>
            </w:pPr>
          </w:p>
        </w:tc>
        <w:tc>
          <w:tcPr>
            <w:tcW w:w="3480" w:type="dxa"/>
            <w:tcBorders>
              <w:tl2br w:val="nil"/>
              <w:tr2bl w:val="nil"/>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原清单事项名称</w:t>
            </w:r>
          </w:p>
        </w:tc>
        <w:tc>
          <w:tcPr>
            <w:tcW w:w="3180" w:type="dxa"/>
            <w:tcBorders>
              <w:tl2br w:val="nil"/>
              <w:tr2bl w:val="nil"/>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更新后事项名称</w:t>
            </w:r>
          </w:p>
        </w:tc>
        <w:tc>
          <w:tcPr>
            <w:tcW w:w="1950" w:type="dxa"/>
            <w:vMerge w:val="continue"/>
            <w:tcBorders>
              <w:tl2br w:val="nil"/>
              <w:tr2bl w:val="nil"/>
            </w:tcBorders>
            <w:noWrap w:val="0"/>
            <w:vAlign w:val="center"/>
          </w:tcPr>
          <w:p>
            <w:pPr>
              <w:widowControl/>
              <w:jc w:val="center"/>
              <w:rPr>
                <w:rFonts w:hint="eastAsia" w:ascii="宋体" w:hAnsi="宋体" w:eastAsia="宋体" w:cs="宋体"/>
                <w:b/>
                <w:bCs w:val="0"/>
                <w:sz w:val="21"/>
                <w:szCs w:val="21"/>
              </w:rPr>
            </w:pPr>
          </w:p>
        </w:tc>
        <w:tc>
          <w:tcPr>
            <w:tcW w:w="1495" w:type="dxa"/>
            <w:vMerge w:val="continue"/>
            <w:tcBorders>
              <w:tl2br w:val="nil"/>
              <w:tr2bl w:val="nil"/>
            </w:tcBorders>
            <w:noWrap w:val="0"/>
            <w:vAlign w:val="center"/>
          </w:tcPr>
          <w:p>
            <w:pPr>
              <w:widowControl/>
              <w:jc w:val="center"/>
              <w:rPr>
                <w:rFonts w:hint="eastAsia" w:ascii="宋体" w:hAnsi="宋体" w:eastAsia="宋体" w:cs="宋体"/>
                <w:b/>
                <w:bCs w:val="0"/>
                <w:sz w:val="21"/>
                <w:szCs w:val="21"/>
              </w:rPr>
            </w:pPr>
          </w:p>
        </w:tc>
        <w:tc>
          <w:tcPr>
            <w:tcW w:w="3320" w:type="dxa"/>
            <w:vMerge w:val="continue"/>
            <w:tcBorders>
              <w:tl2br w:val="nil"/>
              <w:tr2bl w:val="nil"/>
            </w:tcBorders>
            <w:noWrap w:val="0"/>
            <w:vAlign w:val="center"/>
          </w:tcPr>
          <w:p>
            <w:pPr>
              <w:widowControl/>
              <w:jc w:val="center"/>
              <w:rPr>
                <w:rFonts w:hint="eastAsia" w:ascii="宋体" w:hAnsi="宋体" w:eastAsia="宋体" w:cs="宋体"/>
                <w:b/>
                <w:bCs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电影制片单位和发行单位设立、变更业务范围或者兼并、合并、分立审批以及电影放映单位设立审批</w:t>
            </w:r>
          </w:p>
        </w:tc>
        <w:tc>
          <w:tcPr>
            <w:tcW w:w="31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电影放映单位设立审批</w:t>
            </w:r>
          </w:p>
        </w:tc>
        <w:tc>
          <w:tcPr>
            <w:tcW w:w="195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区委宣传部</w:t>
            </w:r>
          </w:p>
        </w:tc>
        <w:tc>
          <w:tcPr>
            <w:tcW w:w="1495"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332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取消赋权，收回区委宣传部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4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固定资产投资项目节能评估和审查</w:t>
            </w:r>
          </w:p>
        </w:tc>
        <w:tc>
          <w:tcPr>
            <w:tcW w:w="31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固定资产投资项目节能审查</w:t>
            </w:r>
          </w:p>
        </w:tc>
        <w:tc>
          <w:tcPr>
            <w:tcW w:w="195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区发改局、工信局</w:t>
            </w:r>
          </w:p>
        </w:tc>
        <w:tc>
          <w:tcPr>
            <w:tcW w:w="1495"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332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取消赋权，收回区发改局、工信局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4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参加基本养老保险职工退休审批</w:t>
            </w:r>
          </w:p>
        </w:tc>
        <w:tc>
          <w:tcPr>
            <w:tcW w:w="31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企业职工基本养老保险退休审批</w:t>
            </w:r>
          </w:p>
        </w:tc>
        <w:tc>
          <w:tcPr>
            <w:tcW w:w="195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行政确认</w:t>
            </w:r>
          </w:p>
        </w:tc>
        <w:tc>
          <w:tcPr>
            <w:tcW w:w="332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取消赋权，收回区人社局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4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企业职工基本养老保险待遇审核</w:t>
            </w:r>
          </w:p>
        </w:tc>
        <w:tc>
          <w:tcPr>
            <w:tcW w:w="31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企业职工基本养老保险待遇审核</w:t>
            </w:r>
          </w:p>
        </w:tc>
        <w:tc>
          <w:tcPr>
            <w:tcW w:w="195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行政确认</w:t>
            </w:r>
          </w:p>
        </w:tc>
        <w:tc>
          <w:tcPr>
            <w:tcW w:w="332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取消赋权，收回区人社局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烟花爆竹经营许可</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烟花爆竹经营许可</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区应急管理局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行政许可</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取消赋权，收回区应急管理局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建设项目安全设施设计审查</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金属冶炼建设项目安全设施设计审查</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区应急管理局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行政许可</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取消赋权，收回区应急管理局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34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企业投资建设固定资产投资项目备案</w:t>
            </w:r>
          </w:p>
        </w:tc>
        <w:tc>
          <w:tcPr>
            <w:tcW w:w="31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企业投资建设固定资产投资项目备案</w:t>
            </w:r>
          </w:p>
        </w:tc>
        <w:tc>
          <w:tcPr>
            <w:tcW w:w="195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区行政审批局</w:t>
            </w:r>
          </w:p>
        </w:tc>
        <w:tc>
          <w:tcPr>
            <w:tcW w:w="1495"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其他行政权力</w:t>
            </w:r>
          </w:p>
        </w:tc>
        <w:tc>
          <w:tcPr>
            <w:tcW w:w="332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取消赋权，收回区行政审批局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34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企业技术改造项目备案</w:t>
            </w:r>
          </w:p>
        </w:tc>
        <w:tc>
          <w:tcPr>
            <w:tcW w:w="31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企业投资技术改造项目备案</w:t>
            </w:r>
          </w:p>
        </w:tc>
        <w:tc>
          <w:tcPr>
            <w:tcW w:w="195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区行政审批局</w:t>
            </w:r>
          </w:p>
        </w:tc>
        <w:tc>
          <w:tcPr>
            <w:tcW w:w="1495"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其他行政权力</w:t>
            </w:r>
          </w:p>
        </w:tc>
        <w:tc>
          <w:tcPr>
            <w:tcW w:w="3320" w:type="dxa"/>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取消赋权，收回区行政审批局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3480" w:type="dxa"/>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工程建设项目招标事项核准</w:t>
            </w:r>
          </w:p>
        </w:tc>
        <w:tc>
          <w:tcPr>
            <w:tcW w:w="3180" w:type="dxa"/>
            <w:vMerge w:val="restart"/>
            <w:tcBorders>
              <w:tl2br w:val="nil"/>
              <w:tr2bl w:val="nil"/>
            </w:tcBorders>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固定资产投资项目核准（含国发〔2016〕72号文件规定的外商投资项目）</w:t>
            </w:r>
          </w:p>
        </w:tc>
        <w:tc>
          <w:tcPr>
            <w:tcW w:w="1950" w:type="dxa"/>
            <w:vMerge w:val="restart"/>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区行政审批局</w:t>
            </w:r>
          </w:p>
        </w:tc>
        <w:tc>
          <w:tcPr>
            <w:tcW w:w="1495" w:type="dxa"/>
            <w:vMerge w:val="restart"/>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3320" w:type="dxa"/>
            <w:vMerge w:val="restart"/>
            <w:tcBorders>
              <w:tl2br w:val="nil"/>
              <w:tr2bl w:val="nil"/>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取消赋权，收回区行政审批局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企业投资技术改造项目以及工业和信息化领域技术改造投资项目招标的核准</w:t>
            </w:r>
          </w:p>
        </w:tc>
        <w:tc>
          <w:tcPr>
            <w:tcW w:w="318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95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495"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332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幼儿园设立审批</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中等及以下学校和其他教育机构设置审批</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区行政审批局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行政许可</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取消赋权，收回区行政审批局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户外广告设置的审批</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设置大型户外广告及在城市建筑物、设施上悬挂、张贴宣传品审批</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区行政审批局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行政许可</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全部情形下放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公共场所（不含公园、体育场馆、公共交通工具）卫生许可</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公共场所卫生许可 </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区行政审批局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行政许可</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全部情形下放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失业保险待遇给付</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失业保险待遇给付</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行政给付</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公共租赁住房核准</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公租房承租资格确认</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区住建局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行政确认</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困难群众物价补贴</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困难群众价格补贴、燃气补贴、困难群众慰问金给付</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区民政局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行政给付</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备注增加“除燃气补贴之外”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兽药经营许可</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兽药经营许可</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区行政审批局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行政许可</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备注增加“兽用生物制品除外”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灵活就业人员社保补贴申请</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本地退休人员首次转入社区管理</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退休人员社区间转移</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自主就业申报（不参保）</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计划生育四项手术费报销</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区卫健局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居民参保人员管理</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医保分局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参保登记管理</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医保分局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综合查询</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医保分局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关系转移接续（线下）</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医保分局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个人待遇管理</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医保分局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参保缴费工资管理</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医保分局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6660" w:type="dxa"/>
            <w:gridSpan w:val="2"/>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sz w:val="21"/>
                <w:szCs w:val="21"/>
              </w:rPr>
              <w:t>住房公积金个人业务</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公积金中心</w:t>
            </w:r>
          </w:p>
        </w:tc>
        <w:tc>
          <w:tcPr>
            <w:tcW w:w="1495"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新增事项，办理环节为全流程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6660" w:type="dxa"/>
            <w:gridSpan w:val="2"/>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就业登记、录用备案</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已无此业务，从清单中删除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6660" w:type="dxa"/>
            <w:gridSpan w:val="2"/>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被征地农民基本养老保险信息查询</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已无此业务，从清单中删除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慈善救助</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慈善救助</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区民政局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收回区民政局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老农保退保</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老农保退保</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收回区人社局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城乡居民养老保险退休办理</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城乡居民养老保险退休办理</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城乡居民养老保险一次性退休办理（退保）</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城乡居民基本养老保险注销登记</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就业困难补贴申请</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就业困难人员认定申请</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城乡居民社会养老保险养老待遇审批</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城乡居民社会养老保险养老待遇审批</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怀孕14周以上终止妊娠(中引)介绍信</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怀孕14周以上终止妊娠(中引)介绍信</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区卫健局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办理环节调整为：计划外全流程；计划内仅受理、初审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病残儿医学鉴定受理</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病残儿医学鉴定受理</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区卫健局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4"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计划生育公益金申报</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计划生育公益金申报</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区卫健局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3480" w:type="dxa"/>
            <w:tcBorders>
              <w:tl2br w:val="nil"/>
              <w:tr2bl w:val="nil"/>
            </w:tcBorders>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特定病种鉴定申请</w:t>
            </w:r>
          </w:p>
        </w:tc>
        <w:tc>
          <w:tcPr>
            <w:tcW w:w="3180" w:type="dxa"/>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门诊慢性病种鉴定的申请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医保分局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残疾人申领残疾证的评定</w:t>
            </w:r>
          </w:p>
        </w:tc>
        <w:tc>
          <w:tcPr>
            <w:tcW w:w="3180" w:type="dxa"/>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残疾证评定的申请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区残联</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“三助一免”辅具申请</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“三助一免”辅具申请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区残联</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精神病人免费服药申请</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精神病人免费服药申请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区残联</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常州市残疾人两项补贴申请</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常州市残疾人两项补贴申请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区残联</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残疾人自主创业扶助金申请</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残疾人自主创业扶助金申请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区残联</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残疾人自主创业经营场地租金补贴申请</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残疾人自主创业经营场地租金补贴申请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区残联</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0-14周岁困难家庭残疾儿童抢救性康复训练申请</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0-14周岁困难家庭残疾儿童抢救性康复训练申请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区残联</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特困精神病人住院分级负担申请</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特困精神病人住院分级负担申请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区残联</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白内障患者免费手术申请</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白内障患者免费手术申请</w:t>
            </w:r>
          </w:p>
        </w:tc>
        <w:tc>
          <w:tcPr>
            <w:tcW w:w="1950" w:type="dxa"/>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区残联</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办理环节调整为：受理、初审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vMerge w:val="restart"/>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3480" w:type="dxa"/>
            <w:vMerge w:val="restart"/>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劳动事务代理</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灵活就业人员就业和社会保险登记</w:t>
            </w:r>
          </w:p>
        </w:tc>
        <w:tc>
          <w:tcPr>
            <w:tcW w:w="1950" w:type="dxa"/>
            <w:vMerge w:val="restart"/>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医保分局</w:t>
            </w:r>
          </w:p>
        </w:tc>
        <w:tc>
          <w:tcPr>
            <w:tcW w:w="1495" w:type="dxa"/>
            <w:vMerge w:val="restart"/>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vMerge w:val="restart"/>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事项名称调整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348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灵活就业人员停保登记</w:t>
            </w:r>
          </w:p>
        </w:tc>
        <w:tc>
          <w:tcPr>
            <w:tcW w:w="195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1495"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c>
          <w:tcPr>
            <w:tcW w:w="3320" w:type="dxa"/>
            <w:vMerge w:val="continue"/>
            <w:tcBorders>
              <w:tl2br w:val="nil"/>
              <w:tr2bl w:val="nil"/>
            </w:tcBorders>
            <w:noWrap w:val="0"/>
            <w:vAlign w:val="center"/>
          </w:tcPr>
          <w:p>
            <w:pPr>
              <w:widowControl/>
              <w:jc w:val="left"/>
              <w:rPr>
                <w:rFonts w:hint="eastAsia" w:ascii="宋体" w:hAnsi="宋体" w:eastAsia="宋体" w:cs="宋体"/>
                <w:color w:val="00000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6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34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新市民保障卡申领、制作、激活</w:t>
            </w:r>
          </w:p>
        </w:tc>
        <w:tc>
          <w:tcPr>
            <w:tcW w:w="3180" w:type="dxa"/>
            <w:tcBorders>
              <w:tl2br w:val="nil"/>
              <w:tr2bl w:val="nil"/>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社保卡业务</w:t>
            </w:r>
          </w:p>
        </w:tc>
        <w:tc>
          <w:tcPr>
            <w:tcW w:w="195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区人社局</w:t>
            </w:r>
          </w:p>
        </w:tc>
        <w:tc>
          <w:tcPr>
            <w:tcW w:w="1495"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公共服务</w:t>
            </w:r>
          </w:p>
        </w:tc>
        <w:tc>
          <w:tcPr>
            <w:tcW w:w="3320" w:type="dxa"/>
            <w:tcBorders>
              <w:tl2br w:val="nil"/>
              <w:tr2bl w:val="nil"/>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增加补卡业务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BFB983-2F4C-451E-9EAC-DAC8205CCE87}"/>
  </w:font>
  <w:font w:name="方正小标宋简体">
    <w:panose1 w:val="02000000000000000000"/>
    <w:charset w:val="86"/>
    <w:family w:val="script"/>
    <w:pitch w:val="default"/>
    <w:sig w:usb0="00000001" w:usb1="080E0000" w:usb2="00000000" w:usb3="00000000" w:csb0="00040000" w:csb1="00000000"/>
    <w:embedRegular r:id="rId2" w:fontKey="{0A2B171B-4051-4F4C-BAF4-71B3D3BC59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TQ4OTRjZDA1NDYyOTA2ZGU2NmJhNTEwYTc5Y2IifQ=="/>
  </w:docVars>
  <w:rsids>
    <w:rsidRoot w:val="438962FE"/>
    <w:rsid w:val="4389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2023-08-14T08:44:00Z</dcterms:created>
  <dc:creator>文档存本地丢失不负责</dc:creator>
  <cp:lastModifiedBy>文档存本地丢失不负责</cp:lastModifiedBy>
  <dcterms:modified xsi:type="dcterms:W3CDTF">2023-08-14T08:45:11Z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09F38185572349C9B92C42D82BDBA4C3_11</vt:lpwstr>
  </property>
</Properties>
</file>