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color w:val="000000"/>
          <w:spacing w:val="-8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spacing w:val="-8"/>
          <w:sz w:val="32"/>
          <w:szCs w:val="32"/>
        </w:rPr>
        <w:t>2022年常州市武进区</w:t>
      </w:r>
      <w:r>
        <w:rPr>
          <w:rFonts w:hint="eastAsia" w:ascii="宋体" w:hAnsi="宋体"/>
          <w:color w:val="000000"/>
          <w:spacing w:val="-8"/>
          <w:sz w:val="32"/>
          <w:szCs w:val="32"/>
        </w:rPr>
        <w:t>科技</w:t>
      </w:r>
      <w:r>
        <w:rPr>
          <w:rFonts w:hint="eastAsia" w:ascii="宋体" w:hAnsi="宋体" w:cs="宋体"/>
          <w:color w:val="000000"/>
          <w:spacing w:val="-8"/>
          <w:sz w:val="32"/>
          <w:szCs w:val="32"/>
        </w:rPr>
        <w:t>发展创新资金第二批拟受理项目清单</w:t>
      </w:r>
    </w:p>
    <w:bookmarkEnd w:id="0"/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52"/>
        <w:gridCol w:w="283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武进区镇域科技企业孵化创新发展体系建设研究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江苏拨云智能科技有限公司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37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以“两湖”创新区为中心武进区高层次人才引进政策研究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常州湖南大学机械装备研究院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38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以“两湖”创新区为中心武进区引进集聚高层次人才的分析研究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江苏理工学院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湖塘科技产业园高质量发展的路径与对策研究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常州工业职业技术学院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打造本地特色科技创新园区平台的路径与方法的研究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江苏中科智能科学技术应用研究院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41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打造本地特色科技创新园区平台的路径与方法的研究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常州京信新一代信息技术研究院有限公司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/>
    <w:p/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52D45765"/>
    <w:rsid w:val="52D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2022-11-28T07:44:00Z</dcterms:created>
  <dc:creator>国家宏观调控</dc:creator>
  <cp:lastModifiedBy>国家宏观调控</cp:lastModifiedBy>
  <dcterms:modified xsi:type="dcterms:W3CDTF">2022-11-28T07:44:55Z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34F11757260E448A95587946AE6580C0</vt:lpwstr>
  </property>
</Properties>
</file>