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科技型中小企业评价指标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/>
          <w:color w:val="676767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color w:val="676767"/>
          <w:sz w:val="32"/>
          <w:szCs w:val="32"/>
          <w:shd w:val="clear" w:color="auto" w:fill="FFFFFF"/>
        </w:rPr>
        <w:t>《科技型中小企业评价办法》摘要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黑体" w:hAnsi="黑体" w:eastAsia="黑体"/>
          <w:color w:val="676767"/>
          <w:sz w:val="28"/>
          <w:szCs w:val="28"/>
        </w:rPr>
      </w:pPr>
      <w:r>
        <w:rPr>
          <w:rFonts w:hint="eastAsia" w:ascii="黑体" w:hAnsi="黑体" w:eastAsia="黑体"/>
          <w:color w:val="676767"/>
          <w:sz w:val="28"/>
          <w:szCs w:val="28"/>
        </w:rPr>
        <w:t>一、科技型中小企业须同时满足以下条件：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（一）在中国境内（不包括港、澳、台地区）注册的居民企业。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（二）职工总数不超过500人、年销售收入不超过2亿元、资产总额不超过2亿元。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（三）企业提供的产品和服务不属于国家规定的禁止、限制和淘汰类。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（四）企业在填报上一年及当年内未发生重大安全、重大质量事故和严重环境违法、科研严重失信行为，且企业未列入经营异常名录和严重违法失信企业名单。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（五）企业根据科技型中小企业评价指标进行综合评价所得分值不低于60分，且科技人员指标得分不得为0分。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黑体" w:hAnsi="黑体" w:eastAsia="黑体"/>
          <w:color w:val="676767"/>
          <w:sz w:val="28"/>
          <w:szCs w:val="28"/>
        </w:rPr>
      </w:pPr>
      <w:r>
        <w:rPr>
          <w:rFonts w:hint="eastAsia" w:ascii="黑体" w:hAnsi="黑体" w:eastAsia="黑体"/>
          <w:color w:val="676767"/>
          <w:sz w:val="28"/>
          <w:szCs w:val="28"/>
        </w:rPr>
        <w:t>二、符合上述第（一）～（四）项条件的企业，若同时符合下列条件中的一项，则可直接确认符合科技型中小企业条件：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（一）企业拥有有效期内高新技术企业资格证书；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（二）企业近五年内获得过国家级科技奖励，并在获奖单位中排在前三名；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（三）企业拥有经认定的省部级以上研发机构；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（四）企业近五年内主导制定过国际标准、国家标准或行业标准。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黑体" w:hAnsi="黑体" w:eastAsia="黑体"/>
          <w:color w:val="676767"/>
          <w:sz w:val="28"/>
          <w:szCs w:val="28"/>
        </w:rPr>
      </w:pPr>
      <w:r>
        <w:rPr>
          <w:rFonts w:hint="eastAsia" w:ascii="黑体" w:hAnsi="黑体" w:eastAsia="黑体"/>
          <w:color w:val="676767"/>
          <w:sz w:val="28"/>
          <w:szCs w:val="28"/>
        </w:rPr>
        <w:t>三、科技型中小企业评价指标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具体包括科技人员、研发投入、科技成果三类，满分100分。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1.科技人员指标（满分20分）。按科技人员数占企业职工总数的比例分档评价。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2.研发投入指标（满分50分）。企业从（1）、（2）两项指标中选择一个指标进行评分。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（1）按企业研发费用总额占销售收入总额的比例分档评价。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（2）按企业研发费用总额占成本费用支出总额的比例分档评价。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hint="eastAsia" w:ascii="仿宋_GB2312" w:hAnsi="微软雅黑" w:eastAsia="仿宋_GB2312"/>
          <w:color w:val="676767"/>
          <w:sz w:val="28"/>
          <w:szCs w:val="28"/>
        </w:rPr>
      </w:pPr>
      <w:r>
        <w:rPr>
          <w:rFonts w:hint="eastAsia" w:ascii="仿宋_GB2312" w:hAnsi="微软雅黑" w:eastAsia="仿宋_GB2312"/>
          <w:color w:val="676767"/>
          <w:sz w:val="28"/>
          <w:szCs w:val="28"/>
        </w:rPr>
        <w:t>3.科技成果指标（满分30分）。按企业拥有的在有效期内的与主要产品（或服务）相关的知识产权类别和数量（知识产权应没有争议或纠纷）分档评价。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92706"/>
    <w:rsid w:val="28B05593"/>
    <w:rsid w:val="2DF92706"/>
    <w:rsid w:val="5A5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130</Characters>
  <Lines>0</Lines>
  <Paragraphs>0</Paragraphs>
  <TotalTime>0</TotalTime>
  <ScaleCrop>false</ScaleCrop>
  <LinksUpToDate>false</LinksUpToDate>
  <CharactersWithSpaces>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2022-03-31T06:30:00Z</dcterms:created>
  <dc:creator>国家宏观调控</dc:creator>
  <cp:lastModifiedBy>国家宏观调控</cp:lastModifiedBy>
  <dcterms:modified xsi:type="dcterms:W3CDTF">2022-03-31T06:31:41Z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4AC897B3D93A4E42A5CB8B6BB9C6957D</vt:lpwstr>
  </property>
</Properties>
</file>