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84" w:rsidRPr="00313460" w:rsidRDefault="00F26284" w:rsidP="000F5661">
      <w:pPr>
        <w:spacing w:line="560" w:lineRule="exact"/>
        <w:jc w:val="center"/>
        <w:rPr>
          <w:rFonts w:eastAsia="方正小标宋简体"/>
          <w:sz w:val="36"/>
        </w:rPr>
      </w:pPr>
      <w:r w:rsidRPr="00313460">
        <w:rPr>
          <w:rFonts w:eastAsia="方正小标宋简体" w:hint="eastAsia"/>
          <w:sz w:val="36"/>
        </w:rPr>
        <w:t>常州市武进区人民政府</w:t>
      </w:r>
    </w:p>
    <w:p w:rsidR="00F26284" w:rsidRPr="00313460" w:rsidRDefault="00F26284" w:rsidP="000F5661">
      <w:pPr>
        <w:spacing w:line="560" w:lineRule="exact"/>
        <w:jc w:val="center"/>
        <w:rPr>
          <w:rFonts w:eastAsia="方正小标宋简体"/>
          <w:sz w:val="36"/>
        </w:rPr>
      </w:pPr>
      <w:r w:rsidRPr="00313460">
        <w:rPr>
          <w:rFonts w:eastAsia="方正小标宋简体"/>
          <w:sz w:val="36"/>
        </w:rPr>
        <w:t>2019</w:t>
      </w:r>
      <w:r w:rsidRPr="00313460">
        <w:rPr>
          <w:rFonts w:eastAsia="方正小标宋简体" w:hint="eastAsia"/>
          <w:sz w:val="36"/>
        </w:rPr>
        <w:t>年政府信息公开工作年度报告</w:t>
      </w:r>
    </w:p>
    <w:p w:rsidR="00F26284" w:rsidRPr="00313460" w:rsidRDefault="00F26284" w:rsidP="000F5661">
      <w:pPr>
        <w:spacing w:line="560" w:lineRule="exact"/>
      </w:pPr>
    </w:p>
    <w:p w:rsidR="00F26284" w:rsidRPr="00313460" w:rsidRDefault="00F26284" w:rsidP="000F5661">
      <w:pPr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 w:rsidRPr="00313460">
        <w:rPr>
          <w:rFonts w:eastAsia="黑体" w:hAnsi="黑体" w:hint="eastAsia"/>
          <w:color w:val="000000"/>
          <w:kern w:val="0"/>
          <w:sz w:val="32"/>
          <w:szCs w:val="32"/>
        </w:rPr>
        <w:t>一、总体情况</w:t>
      </w:r>
    </w:p>
    <w:p w:rsidR="00F26284" w:rsidRPr="00313460" w:rsidRDefault="00F26284" w:rsidP="000F5661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2019</w:t>
      </w:r>
      <w:r w:rsidRPr="00313460">
        <w:rPr>
          <w:rFonts w:ascii="Times New Roman" w:eastAsia="方正仿宋简体" w:cs="Times New Roman" w:hint="eastAsia"/>
          <w:color w:val="000000"/>
          <w:sz w:val="32"/>
          <w:szCs w:val="32"/>
        </w:rPr>
        <w:t>年，常州市武进区人民政府认真贯彻落实新修订《中华人民共和国政府信息公开条例》（以下简称《条例》）要求，扎实推进政府信息公开。</w:t>
      </w:r>
    </w:p>
    <w:p w:rsidR="00F26284" w:rsidRPr="00313460" w:rsidRDefault="00F26284" w:rsidP="000F5661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313460"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（一）认真</w:t>
      </w:r>
      <w:r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落实</w:t>
      </w:r>
      <w:r w:rsidRPr="00313460"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新《条例》</w:t>
      </w:r>
      <w:r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要求</w:t>
      </w:r>
      <w:r w:rsidRPr="00313460"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。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区政府常务会议专题学习新的《条例》，并听取政务公开工作情况汇报。区政府领导切实履行重大政策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第一发言人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和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第一解读人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职责，主动参加政府新闻发布会、在线访谈，及时准确传递权威信息和政策意图。</w:t>
      </w:r>
      <w:r w:rsidRPr="00313460">
        <w:rPr>
          <w:rFonts w:ascii="Times New Roman" w:eastAsia="方正仿宋简体" w:cs="Times New Roman" w:hint="eastAsia"/>
          <w:color w:val="000000"/>
          <w:sz w:val="32"/>
          <w:szCs w:val="32"/>
        </w:rPr>
        <w:t>区政府部门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贯彻落实新《条例》</w:t>
      </w:r>
      <w:r w:rsidRPr="00313460">
        <w:rPr>
          <w:rFonts w:ascii="Times New Roman" w:eastAsia="方正仿宋简体" w:cs="Times New Roman" w:hint="eastAsia"/>
          <w:color w:val="000000"/>
          <w:sz w:val="32"/>
          <w:szCs w:val="32"/>
        </w:rPr>
        <w:t>的各项要求，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做好新旧条例衔接过渡工作</w:t>
      </w:r>
      <w:r w:rsidRPr="00313460">
        <w:rPr>
          <w:rFonts w:ascii="Times New Roman" w:eastAsia="方正仿宋简体" w:cs="Times New Roman" w:hint="eastAsia"/>
          <w:color w:val="000000"/>
          <w:sz w:val="32"/>
          <w:szCs w:val="32"/>
        </w:rPr>
        <w:t>，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及时更新信息公开指南。</w:t>
      </w:r>
    </w:p>
    <w:p w:rsidR="00F26284" w:rsidRPr="00313460" w:rsidRDefault="00F26284" w:rsidP="000F5661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313460"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（二）扎实推进主动公开。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推进决策公开，邀请人大代表、政协委员、市民代表等列席政府全体会议、常务会议，加大规范性文件制定和出台时的公众参与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程度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，通过举行听证会议、书面征求、网上征询意见等形式，征求行政主管部门、利害关系人、专家学者等各方面意见。推进执行公开，主动公开重点改革任务落实、重要政策执行、重大工程项目实施情况，听取社会公众意见建议，确保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工作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落实到位。推进管理公开，进一步完善权力清单、责任清单、涉企收费清单，实行动态调整。推进结果公开，主动公开重大决策、重要政策落实情况，加大对党中央、国务院，省委、省政府和市委、市政府决策部署贯彻落实结果的公开力度。推进服务公开，促进公共服务和行政审批公开透明、可追溯、可核查，最大限度方便企业和群众办事，打通政府联系服务群众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最后</w:t>
      </w:r>
      <w:smartTag w:uri="urn:schemas-microsoft-com:office:smarttags" w:element="chmetcnv">
        <w:smartTagPr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313460">
          <w:rPr>
            <w:rFonts w:ascii="Times New Roman" w:eastAsia="方正仿宋简体" w:hAnsi="Times New Roman" w:cs="Times New Roman" w:hint="eastAsia"/>
            <w:color w:val="000000"/>
            <w:sz w:val="32"/>
            <w:szCs w:val="32"/>
          </w:rPr>
          <w:t>一公里</w:t>
        </w:r>
      </w:smartTag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。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2019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年，全区共主动公开各类政府信息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3738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条，其中含带索引号的政府信息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2102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条，共公开涉及重点工程、财政审计、公益救助、社保就业、征地拆迁、科教文卫等重点领域信息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1636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条。</w:t>
      </w:r>
    </w:p>
    <w:p w:rsidR="00F26284" w:rsidRPr="00313460" w:rsidRDefault="00F26284" w:rsidP="000F5661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313460"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（三）规范政府信息依申请公开。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认真执行《省政府办公厅关于规范政府信息依申请公开办理程序的意见》等相关文件要求，规范有序办理政府信息依申请公开，更好满足社会公众信息需求。全年收到向区政府申请的政府信息公开办件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46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件（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含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上年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度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结转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件），累计办结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42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件（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含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上年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度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结转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件），均妥善处理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，结转下年度办理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件</w:t>
      </w:r>
      <w:r w:rsidRPr="00313460">
        <w:rPr>
          <w:rFonts w:ascii="Times New Roman" w:eastAsia="方正仿宋简体" w:cs="Times New Roman" w:hint="eastAsia"/>
          <w:sz w:val="32"/>
          <w:szCs w:val="32"/>
        </w:rPr>
        <w:t>。</w:t>
      </w:r>
    </w:p>
    <w:p w:rsidR="00F26284" w:rsidRPr="00313460" w:rsidRDefault="00F26284" w:rsidP="000F5661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313460"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（四）优化提升信息公开平台。</w:t>
      </w:r>
      <w:r w:rsidRPr="00313460">
        <w:rPr>
          <w:rFonts w:ascii="Times New Roman" w:eastAsia="方正仿宋简体" w:cs="Times New Roman" w:hint="eastAsia"/>
          <w:sz w:val="32"/>
          <w:szCs w:val="32"/>
        </w:rPr>
        <w:t>进一步合并、调整政府信息主动公开目录，优化门户网站页面布局、栏目布局，突出重点领域、预决算公开、建议提案公开等栏目，保证网站信息更新与时俱进。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按照省、市有关全国政府网站普查工作要求，</w:t>
      </w:r>
      <w:r w:rsidRPr="00313460">
        <w:rPr>
          <w:rFonts w:ascii="Times New Roman" w:eastAsia="方正仿宋简体" w:hAnsi="Times New Roman" w:cs="Times New Roman" w:hint="eastAsia"/>
          <w:sz w:val="32"/>
          <w:szCs w:val="32"/>
        </w:rPr>
        <w:t>落实定期检查制度，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及时发现死链、错别字、更新不及时、显示不正常等各类问题，督促相关单位做好自查自纠及整改工作。</w:t>
      </w:r>
    </w:p>
    <w:p w:rsidR="00F26284" w:rsidRPr="00313460" w:rsidRDefault="00F26284" w:rsidP="000F5661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313460"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（五）严格落实监督考核。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出台《常州市武进区</w:t>
      </w:r>
      <w:r w:rsidRPr="00313460">
        <w:rPr>
          <w:rFonts w:ascii="Times New Roman" w:eastAsia="方正仿宋简体" w:hAnsi="Times New Roman" w:cs="Times New Roman"/>
          <w:color w:val="000000"/>
          <w:sz w:val="32"/>
          <w:szCs w:val="32"/>
        </w:rPr>
        <w:t>2019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年度政务公开工作考核办法》，并纳入全区综合考核范围。完善了政务公开工作考核评价指标体系，确保政务公开工作健康良好运行。探索建立常态化督查机制，分组、分阶段对各单位政务公开实施情况开展工作督查。</w:t>
      </w:r>
    </w:p>
    <w:p w:rsidR="00F26284" w:rsidRPr="00313460" w:rsidRDefault="00F26284" w:rsidP="000F5661">
      <w:pPr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 w:rsidRPr="00313460">
        <w:rPr>
          <w:rFonts w:eastAsia="黑体" w:hAnsi="黑体" w:hint="eastAsia"/>
          <w:color w:val="000000"/>
          <w:kern w:val="0"/>
          <w:sz w:val="32"/>
          <w:szCs w:val="32"/>
        </w:rPr>
        <w:t>二、主动公开政府信息情况</w:t>
      </w:r>
    </w:p>
    <w:p w:rsidR="00F26284" w:rsidRPr="00313460" w:rsidRDefault="00F26284" w:rsidP="000F5661">
      <w:pPr>
        <w:spacing w:line="560" w:lineRule="exact"/>
        <w:rPr>
          <w:rFonts w:eastAsia="黑体"/>
          <w:color w:val="000000"/>
          <w:kern w:val="0"/>
          <w:sz w:val="32"/>
          <w:szCs w:val="32"/>
        </w:rPr>
      </w:pP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3"/>
        <w:gridCol w:w="2127"/>
        <w:gridCol w:w="1869"/>
        <w:gridCol w:w="2070"/>
      </w:tblGrid>
      <w:tr w:rsidR="00F26284" w:rsidRPr="00313460" w:rsidTr="009913BB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本年新制作数量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本年新公开数量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对外公开总数量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D67782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D67782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本年增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/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减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处理决定数量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  191555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其他对外管理服务事项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本年增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/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减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处理决定数量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3505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780767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22711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本年增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/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减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D67782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第二十条第（九）项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采购项目数量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采购总金额</w:t>
            </w:r>
          </w:p>
        </w:tc>
      </w:tr>
      <w:tr w:rsidR="00F26284" w:rsidRPr="00313460" w:rsidTr="009913BB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D67782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56033.16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（万元）</w:t>
            </w:r>
          </w:p>
        </w:tc>
      </w:tr>
    </w:tbl>
    <w:p w:rsidR="00F26284" w:rsidRPr="00313460" w:rsidRDefault="00F26284" w:rsidP="00D67782">
      <w:pPr>
        <w:widowControl/>
        <w:jc w:val="left"/>
        <w:rPr>
          <w:rFonts w:eastAsia="黑体"/>
          <w:color w:val="000000"/>
          <w:kern w:val="0"/>
          <w:sz w:val="32"/>
          <w:szCs w:val="32"/>
        </w:rPr>
      </w:pPr>
      <w:r w:rsidRPr="00313460">
        <w:rPr>
          <w:snapToGrid w:val="0"/>
          <w:color w:val="000000"/>
          <w:kern w:val="0"/>
          <w:sz w:val="24"/>
        </w:rPr>
        <w:br w:type="page"/>
      </w:r>
      <w:r w:rsidRPr="00313460">
        <w:rPr>
          <w:rFonts w:eastAsia="黑体" w:hAnsi="黑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8959" w:type="dxa"/>
        <w:jc w:val="center"/>
        <w:tblCellMar>
          <w:left w:w="0" w:type="dxa"/>
          <w:right w:w="0" w:type="dxa"/>
        </w:tblCellMar>
        <w:tblLook w:val="00A0"/>
      </w:tblPr>
      <w:tblGrid>
        <w:gridCol w:w="636"/>
        <w:gridCol w:w="846"/>
        <w:gridCol w:w="2284"/>
        <w:gridCol w:w="595"/>
        <w:gridCol w:w="704"/>
        <w:gridCol w:w="704"/>
        <w:gridCol w:w="931"/>
        <w:gridCol w:w="941"/>
        <w:gridCol w:w="622"/>
        <w:gridCol w:w="696"/>
      </w:tblGrid>
      <w:tr w:rsidR="00F26284" w:rsidRPr="00313460" w:rsidTr="000F5661">
        <w:trPr>
          <w:jc w:val="center"/>
        </w:trPr>
        <w:tc>
          <w:tcPr>
            <w:tcW w:w="37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（本列数据中，第一大项加第二大项之和应等于第三大项加第四大项之和）</w:t>
            </w:r>
          </w:p>
        </w:tc>
        <w:tc>
          <w:tcPr>
            <w:tcW w:w="51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申请人情况</w:t>
            </w:r>
          </w:p>
        </w:tc>
      </w:tr>
      <w:tr w:rsidR="00F26284" w:rsidRPr="00313460" w:rsidTr="000F5661">
        <w:trPr>
          <w:jc w:val="center"/>
        </w:trPr>
        <w:tc>
          <w:tcPr>
            <w:tcW w:w="37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自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然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总计</w:t>
            </w:r>
          </w:p>
        </w:tc>
      </w:tr>
      <w:tr w:rsidR="00F26284" w:rsidRPr="00313460" w:rsidTr="000F5661">
        <w:trPr>
          <w:jc w:val="center"/>
        </w:trPr>
        <w:tc>
          <w:tcPr>
            <w:tcW w:w="37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商业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科研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社会公益组织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法律服务机构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</w:tr>
      <w:tr w:rsidR="00F26284" w:rsidRPr="00313460" w:rsidTr="000F5661">
        <w:trPr>
          <w:jc w:val="center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3</w:t>
            </w:r>
            <w:r>
              <w:rPr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C52B2C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345</w:t>
            </w:r>
          </w:p>
        </w:tc>
      </w:tr>
      <w:tr w:rsidR="00F26284" w:rsidRPr="00313460" w:rsidTr="000F5661">
        <w:trPr>
          <w:jc w:val="center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</w:tr>
      <w:tr w:rsidR="00F26284" w:rsidRPr="00313460" w:rsidTr="000F5661"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三、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本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年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度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办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理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结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1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140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15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（三）不予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1.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2.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3.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危及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“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三安全一稳定</w:t>
            </w:r>
            <w:r w:rsidRPr="00313460">
              <w:rPr>
                <w:snapToGrid w:val="0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4.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76749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76749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3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5.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76749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76749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9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6.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6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7.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3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8.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2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（四）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无法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提供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1.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13</w:t>
            </w: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047F1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14</w:t>
            </w:r>
            <w:r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2.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6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3.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（五）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不予</w:t>
            </w:r>
          </w:p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处理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1.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3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2.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重复申请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6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3.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要求提供公开出版物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4.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无正当理由大量反复申请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 xml:space="preserve">5. </w:t>
            </w: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（六）其他处理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</w:tr>
      <w:tr w:rsidR="00F26284" w:rsidRPr="00313460" w:rsidTr="000F566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3</w:t>
            </w:r>
            <w:r>
              <w:rPr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3</w:t>
            </w:r>
            <w:r>
              <w:rPr>
                <w:snapToGrid w:val="0"/>
                <w:color w:val="000000"/>
                <w:kern w:val="0"/>
                <w:szCs w:val="21"/>
              </w:rPr>
              <w:t>42</w:t>
            </w:r>
          </w:p>
        </w:tc>
      </w:tr>
      <w:tr w:rsidR="00F26284" w:rsidRPr="00313460" w:rsidTr="000F5661">
        <w:trPr>
          <w:jc w:val="center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hint="eastAsia"/>
                <w:snapToGrid w:val="0"/>
                <w:color w:val="000000"/>
                <w:kern w:val="0"/>
                <w:szCs w:val="21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A05DE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C051E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</w:tr>
    </w:tbl>
    <w:p w:rsidR="00F26284" w:rsidRPr="00313460" w:rsidRDefault="00F26284" w:rsidP="00D67782">
      <w:pPr>
        <w:widowControl/>
        <w:jc w:val="left"/>
        <w:rPr>
          <w:rFonts w:eastAsia="黑体"/>
          <w:color w:val="000000"/>
          <w:kern w:val="0"/>
          <w:sz w:val="32"/>
          <w:szCs w:val="32"/>
        </w:rPr>
      </w:pPr>
      <w:r w:rsidRPr="006262BE">
        <w:rPr>
          <w:rFonts w:eastAsia="方正仿宋简体" w:hint="eastAsia"/>
          <w:color w:val="000000"/>
          <w:kern w:val="0"/>
          <w:sz w:val="32"/>
          <w:szCs w:val="32"/>
        </w:rPr>
        <w:t>关于</w:t>
      </w:r>
      <w:r w:rsidRPr="006262BE">
        <w:rPr>
          <w:rFonts w:eastAsia="方正仿宋简体"/>
          <w:color w:val="000000"/>
          <w:kern w:val="0"/>
          <w:sz w:val="32"/>
          <w:szCs w:val="32"/>
        </w:rPr>
        <w:t>“</w:t>
      </w:r>
      <w:r w:rsidRPr="006262BE">
        <w:rPr>
          <w:rFonts w:eastAsia="方正仿宋简体" w:hint="eastAsia"/>
          <w:color w:val="000000"/>
          <w:kern w:val="0"/>
          <w:sz w:val="32"/>
          <w:szCs w:val="32"/>
        </w:rPr>
        <w:t>本年度办理结果</w:t>
      </w:r>
      <w:r w:rsidRPr="006262BE">
        <w:rPr>
          <w:rFonts w:eastAsia="方正仿宋简体"/>
          <w:color w:val="000000"/>
          <w:kern w:val="0"/>
          <w:sz w:val="32"/>
          <w:szCs w:val="32"/>
        </w:rPr>
        <w:t>(</w:t>
      </w:r>
      <w:r w:rsidRPr="006262BE">
        <w:rPr>
          <w:rFonts w:eastAsia="方正仿宋简体" w:hint="eastAsia"/>
          <w:color w:val="000000"/>
          <w:kern w:val="0"/>
          <w:sz w:val="32"/>
          <w:szCs w:val="32"/>
        </w:rPr>
        <w:t>六</w:t>
      </w:r>
      <w:r w:rsidRPr="006262BE">
        <w:rPr>
          <w:rFonts w:eastAsia="方正仿宋简体"/>
          <w:color w:val="000000"/>
          <w:kern w:val="0"/>
          <w:sz w:val="32"/>
          <w:szCs w:val="32"/>
        </w:rPr>
        <w:t>)</w:t>
      </w:r>
      <w:r w:rsidRPr="006262BE">
        <w:rPr>
          <w:rFonts w:eastAsia="方正仿宋简体" w:hint="eastAsia"/>
          <w:color w:val="000000"/>
          <w:kern w:val="0"/>
          <w:sz w:val="32"/>
          <w:szCs w:val="32"/>
        </w:rPr>
        <w:t>其他处理＂的说明</w:t>
      </w:r>
      <w:r w:rsidRPr="006262BE">
        <w:rPr>
          <w:rFonts w:eastAsia="方正仿宋简体"/>
          <w:color w:val="000000"/>
          <w:kern w:val="0"/>
          <w:sz w:val="32"/>
          <w:szCs w:val="32"/>
        </w:rPr>
        <w:t>:</w:t>
      </w:r>
      <w:r>
        <w:rPr>
          <w:rFonts w:eastAsia="方正仿宋简体"/>
          <w:color w:val="000000"/>
          <w:kern w:val="0"/>
          <w:sz w:val="32"/>
          <w:szCs w:val="32"/>
        </w:rPr>
        <w:t>1</w:t>
      </w:r>
      <w:r w:rsidRPr="006262BE">
        <w:rPr>
          <w:rFonts w:eastAsia="方正仿宋简体" w:hint="eastAsia"/>
          <w:color w:val="000000"/>
          <w:kern w:val="0"/>
          <w:sz w:val="32"/>
          <w:szCs w:val="32"/>
        </w:rPr>
        <w:t>件其他处理是</w:t>
      </w:r>
      <w:r>
        <w:rPr>
          <w:rFonts w:eastAsia="方正仿宋简体" w:hint="eastAsia"/>
          <w:color w:val="000000"/>
          <w:kern w:val="0"/>
          <w:sz w:val="32"/>
          <w:szCs w:val="32"/>
        </w:rPr>
        <w:t>申请内容为党务信息。</w:t>
      </w:r>
      <w:r w:rsidRPr="006262BE">
        <w:rPr>
          <w:rFonts w:eastAsia="方正仿宋简体"/>
          <w:color w:val="000000"/>
          <w:kern w:val="0"/>
          <w:sz w:val="32"/>
          <w:szCs w:val="32"/>
        </w:rPr>
        <w:br w:type="page"/>
      </w:r>
      <w:r w:rsidRPr="00313460">
        <w:rPr>
          <w:rFonts w:eastAsia="黑体" w:hAnsi="黑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8959" w:type="dxa"/>
        <w:jc w:val="center"/>
        <w:tblCellMar>
          <w:left w:w="0" w:type="dxa"/>
          <w:right w:w="0" w:type="dxa"/>
        </w:tblCellMar>
        <w:tblLook w:val="00A0"/>
      </w:tblPr>
      <w:tblGrid>
        <w:gridCol w:w="582"/>
        <w:gridCol w:w="582"/>
        <w:gridCol w:w="582"/>
        <w:gridCol w:w="582"/>
        <w:gridCol w:w="583"/>
        <w:gridCol w:w="565"/>
        <w:gridCol w:w="621"/>
        <w:gridCol w:w="621"/>
        <w:gridCol w:w="621"/>
        <w:gridCol w:w="621"/>
        <w:gridCol w:w="621"/>
        <w:gridCol w:w="621"/>
        <w:gridCol w:w="621"/>
        <w:gridCol w:w="622"/>
        <w:gridCol w:w="514"/>
      </w:tblGrid>
      <w:tr w:rsidR="00F26284" w:rsidRPr="00313460" w:rsidTr="009913BB">
        <w:trPr>
          <w:trHeight w:val="454"/>
          <w:jc w:val="center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行政诉讼</w:t>
            </w:r>
          </w:p>
        </w:tc>
      </w:tr>
      <w:tr w:rsidR="00F26284" w:rsidRPr="00313460" w:rsidTr="009913BB">
        <w:trPr>
          <w:trHeight w:val="454"/>
          <w:jc w:val="center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总</w:t>
            </w:r>
          </w:p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30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2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复议后起诉</w:t>
            </w:r>
          </w:p>
        </w:tc>
      </w:tr>
      <w:tr w:rsidR="00F26284" w:rsidRPr="00313460" w:rsidTr="009913BB">
        <w:trPr>
          <w:trHeight w:val="454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总计</w:t>
            </w:r>
          </w:p>
        </w:tc>
      </w:tr>
      <w:tr w:rsidR="00F26284" w:rsidRPr="00313460" w:rsidTr="009913BB">
        <w:trPr>
          <w:trHeight w:val="1134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C52B2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5C5EC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 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84" w:rsidRPr="00313460" w:rsidRDefault="00F26284" w:rsidP="00991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313460">
              <w:rPr>
                <w:snapToGrid w:val="0"/>
                <w:color w:val="000000"/>
                <w:kern w:val="0"/>
                <w:szCs w:val="21"/>
              </w:rPr>
              <w:t>28</w:t>
            </w:r>
          </w:p>
        </w:tc>
      </w:tr>
    </w:tbl>
    <w:p w:rsidR="00F26284" w:rsidRPr="00313460" w:rsidRDefault="00F26284" w:rsidP="00D67782">
      <w:pPr>
        <w:adjustRightInd w:val="0"/>
        <w:snapToGrid w:val="0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F26284" w:rsidRPr="00313460" w:rsidRDefault="00F26284">
      <w:pPr>
        <w:rPr>
          <w:rFonts w:eastAsia="黑体"/>
          <w:color w:val="000000"/>
          <w:kern w:val="0"/>
          <w:sz w:val="32"/>
          <w:szCs w:val="32"/>
        </w:rPr>
      </w:pPr>
      <w:r w:rsidRPr="00313460">
        <w:rPr>
          <w:rFonts w:eastAsia="黑体" w:hAnsi="黑体" w:hint="eastAsia"/>
          <w:color w:val="000000"/>
          <w:kern w:val="0"/>
          <w:sz w:val="32"/>
          <w:szCs w:val="32"/>
        </w:rPr>
        <w:t>五、政府信息公开工作存在的主要问题及改进情况</w:t>
      </w:r>
    </w:p>
    <w:p w:rsidR="00F26284" w:rsidRPr="00313460" w:rsidRDefault="00F26284" w:rsidP="0098569F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313460"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（一）业务能力有待提升。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部</w:t>
      </w:r>
      <w:r w:rsidRPr="00313460">
        <w:rPr>
          <w:rFonts w:ascii="Times New Roman" w:eastAsia="方正仿宋简体" w:hAnsi="Times New Roman" w:cs="Times New Roman" w:hint="eastAsia"/>
          <w:sz w:val="32"/>
          <w:szCs w:val="32"/>
        </w:rPr>
        <w:t>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单位</w:t>
      </w:r>
      <w:r w:rsidRPr="00313460">
        <w:rPr>
          <w:rFonts w:ascii="Times New Roman" w:eastAsia="方正仿宋简体" w:hAnsi="Times New Roman" w:cs="Times New Roman" w:hint="eastAsia"/>
          <w:sz w:val="32"/>
          <w:szCs w:val="32"/>
        </w:rPr>
        <w:t>对新出台的《条例》学习还不够深入，在办理依申请公开件时，业务能力方面还有待提升。下一步，将加大学习培训力度，努力提升政务公开工作者专业素质。</w:t>
      </w:r>
    </w:p>
    <w:p w:rsidR="00F26284" w:rsidRPr="00313460" w:rsidRDefault="00F26284" w:rsidP="0098569F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313460">
        <w:rPr>
          <w:rFonts w:ascii="Times New Roman" w:eastAsia="楷体_GB2312" w:hAnsi="Times New Roman" w:cs="Times New Roman" w:hint="eastAsia"/>
          <w:b/>
          <w:bCs/>
          <w:color w:val="383838"/>
          <w:sz w:val="32"/>
          <w:szCs w:val="32"/>
        </w:rPr>
        <w:t>（二）平台建设有待优化。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政府门户网站、政务新媒体的建设、管理运营上与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上级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的要求还有差距。下一步，将进一步优化政府门户网站，严格规范政务新媒体运行管理。</w:t>
      </w:r>
    </w:p>
    <w:p w:rsidR="00F26284" w:rsidRPr="00313460" w:rsidRDefault="00F26284">
      <w:pPr>
        <w:rPr>
          <w:rFonts w:eastAsia="黑体"/>
          <w:color w:val="000000"/>
          <w:kern w:val="0"/>
          <w:sz w:val="32"/>
          <w:szCs w:val="32"/>
        </w:rPr>
      </w:pPr>
      <w:r w:rsidRPr="00313460">
        <w:rPr>
          <w:rFonts w:eastAsia="黑体" w:hAnsi="黑体" w:hint="eastAsia"/>
          <w:color w:val="000000"/>
          <w:kern w:val="0"/>
          <w:sz w:val="32"/>
          <w:szCs w:val="32"/>
        </w:rPr>
        <w:t>六、其他需要报告的事项</w:t>
      </w:r>
    </w:p>
    <w:p w:rsidR="00F26284" w:rsidRPr="00313460" w:rsidRDefault="00F26284" w:rsidP="00112179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年</w:t>
      </w:r>
      <w:r w:rsidRPr="00047F1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我区认真做好政务新媒体开设整合、内容保障、安全防护、监督管理等工作。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全区</w:t>
      </w:r>
      <w:r w:rsidRPr="00313460">
        <w:rPr>
          <w:rFonts w:ascii="Times New Roman" w:eastAsia="方正仿宋简体" w:cs="Times New Roman" w:hint="eastAsia"/>
          <w:color w:val="000000"/>
          <w:sz w:val="32"/>
          <w:szCs w:val="32"/>
        </w:rPr>
        <w:t>共梳理出政务新媒体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66</w:t>
      </w:r>
      <w:r w:rsidRPr="00313460">
        <w:rPr>
          <w:rFonts w:ascii="Times New Roman" w:eastAsia="方正仿宋简体" w:cs="Times New Roman" w:hint="eastAsia"/>
          <w:color w:val="000000"/>
          <w:sz w:val="32"/>
          <w:szCs w:val="32"/>
        </w:rPr>
        <w:t>个，关停、注销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16</w:t>
      </w:r>
      <w:r w:rsidRPr="00313460">
        <w:rPr>
          <w:rFonts w:ascii="Times New Roman" w:eastAsia="方正仿宋简体" w:cs="Times New Roman" w:hint="eastAsia"/>
          <w:color w:val="000000"/>
          <w:sz w:val="32"/>
          <w:szCs w:val="32"/>
        </w:rPr>
        <w:t>个，最终保留</w:t>
      </w:r>
      <w:r>
        <w:rPr>
          <w:rFonts w:ascii="Times New Roman" w:eastAsia="方正仿宋简体" w:cs="Times New Roman"/>
          <w:color w:val="000000"/>
          <w:sz w:val="32"/>
          <w:szCs w:val="32"/>
        </w:rPr>
        <w:t>50</w:t>
      </w:r>
      <w:r w:rsidRPr="00313460">
        <w:rPr>
          <w:rFonts w:ascii="Times New Roman" w:eastAsia="方正仿宋简体" w:cs="Times New Roman" w:hint="eastAsia"/>
          <w:color w:val="000000"/>
          <w:sz w:val="32"/>
          <w:szCs w:val="32"/>
        </w:rPr>
        <w:t>个，均已纳入全省政务新媒体备案检查系统。做好日常巡查和整改落实工作，对内容发布、更新频率、有效互动等方面提出明确要求，政务新媒体运行管理</w:t>
      </w:r>
      <w:r>
        <w:rPr>
          <w:rFonts w:ascii="Times New Roman" w:eastAsia="方正仿宋简体" w:cs="Times New Roman" w:hint="eastAsia"/>
          <w:color w:val="000000"/>
          <w:sz w:val="32"/>
          <w:szCs w:val="32"/>
        </w:rPr>
        <w:t>取得较好成效</w:t>
      </w:r>
      <w:r w:rsidRPr="0031346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。</w:t>
      </w:r>
    </w:p>
    <w:sectPr w:rsidR="00F26284" w:rsidRPr="00313460" w:rsidSect="00E9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284" w:rsidRDefault="00F26284" w:rsidP="00D67782">
      <w:r>
        <w:separator/>
      </w:r>
    </w:p>
  </w:endnote>
  <w:endnote w:type="continuationSeparator" w:id="0">
    <w:p w:rsidR="00F26284" w:rsidRDefault="00F26284" w:rsidP="00D6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284" w:rsidRDefault="00F26284" w:rsidP="00D67782">
      <w:r>
        <w:separator/>
      </w:r>
    </w:p>
  </w:footnote>
  <w:footnote w:type="continuationSeparator" w:id="0">
    <w:p w:rsidR="00F26284" w:rsidRDefault="00F26284" w:rsidP="00D67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782"/>
    <w:rsid w:val="000062A9"/>
    <w:rsid w:val="00047F1E"/>
    <w:rsid w:val="00067163"/>
    <w:rsid w:val="00071789"/>
    <w:rsid w:val="00090B13"/>
    <w:rsid w:val="000C4CF5"/>
    <w:rsid w:val="000F5661"/>
    <w:rsid w:val="00112179"/>
    <w:rsid w:val="00112DD2"/>
    <w:rsid w:val="00121BBF"/>
    <w:rsid w:val="001C54B2"/>
    <w:rsid w:val="001D380D"/>
    <w:rsid w:val="00225212"/>
    <w:rsid w:val="00247E8B"/>
    <w:rsid w:val="002823B5"/>
    <w:rsid w:val="00292E5B"/>
    <w:rsid w:val="002F40C5"/>
    <w:rsid w:val="00313460"/>
    <w:rsid w:val="003E0104"/>
    <w:rsid w:val="00450D73"/>
    <w:rsid w:val="00477DB4"/>
    <w:rsid w:val="00571373"/>
    <w:rsid w:val="005C5EC0"/>
    <w:rsid w:val="00604C5C"/>
    <w:rsid w:val="006262BE"/>
    <w:rsid w:val="00632F86"/>
    <w:rsid w:val="00686478"/>
    <w:rsid w:val="006A6FEE"/>
    <w:rsid w:val="006D2DB5"/>
    <w:rsid w:val="0070630F"/>
    <w:rsid w:val="00735F1F"/>
    <w:rsid w:val="00743C0B"/>
    <w:rsid w:val="00744878"/>
    <w:rsid w:val="0076276F"/>
    <w:rsid w:val="0076749E"/>
    <w:rsid w:val="007704C9"/>
    <w:rsid w:val="00784426"/>
    <w:rsid w:val="007C5FD3"/>
    <w:rsid w:val="008265B6"/>
    <w:rsid w:val="008B08C5"/>
    <w:rsid w:val="008E2B50"/>
    <w:rsid w:val="0098569F"/>
    <w:rsid w:val="009913BB"/>
    <w:rsid w:val="009C1F99"/>
    <w:rsid w:val="009E4B58"/>
    <w:rsid w:val="00A05DE0"/>
    <w:rsid w:val="00A0619C"/>
    <w:rsid w:val="00A1641E"/>
    <w:rsid w:val="00A5384E"/>
    <w:rsid w:val="00A935EF"/>
    <w:rsid w:val="00AA22B9"/>
    <w:rsid w:val="00B56894"/>
    <w:rsid w:val="00B6653E"/>
    <w:rsid w:val="00BA5740"/>
    <w:rsid w:val="00BC0AE7"/>
    <w:rsid w:val="00C014D8"/>
    <w:rsid w:val="00C051EA"/>
    <w:rsid w:val="00C52B2C"/>
    <w:rsid w:val="00C7333F"/>
    <w:rsid w:val="00CE6B3B"/>
    <w:rsid w:val="00D17AD4"/>
    <w:rsid w:val="00D67782"/>
    <w:rsid w:val="00D93985"/>
    <w:rsid w:val="00DC2B04"/>
    <w:rsid w:val="00E13941"/>
    <w:rsid w:val="00E82058"/>
    <w:rsid w:val="00E95ECF"/>
    <w:rsid w:val="00EA1175"/>
    <w:rsid w:val="00F223CB"/>
    <w:rsid w:val="00F26284"/>
    <w:rsid w:val="00F34768"/>
    <w:rsid w:val="00FE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8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7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77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778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778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C1F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5</Pages>
  <Words>455</Words>
  <Characters>2595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常州经开区</dc:creator>
  <cp:keywords/>
  <dc:description/>
  <cp:lastModifiedBy>孟瑶</cp:lastModifiedBy>
  <cp:revision>21</cp:revision>
  <cp:lastPrinted>2020-02-13T02:15:00Z</cp:lastPrinted>
  <dcterms:created xsi:type="dcterms:W3CDTF">2020-02-03T02:07:00Z</dcterms:created>
  <dcterms:modified xsi:type="dcterms:W3CDTF">2020-02-27T08:41:00Z</dcterms:modified>
</cp:coreProperties>
</file>